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56941">
      <w:pPr>
        <w:pStyle w:val="2"/>
        <w:jc w:val="right"/>
        <w:rPr>
          <w:sz w:val="28"/>
          <w:szCs w:val="28"/>
        </w:rPr>
      </w:pPr>
    </w:p>
    <w:p w14:paraId="5C025870">
      <w:pPr>
        <w:pStyle w:val="2"/>
        <w:rPr>
          <w:rFonts w:hint="default" w:ascii="Times New Roman" w:hAnsi="Times New Roman" w:cs="Times New Roman"/>
          <w:sz w:val="28"/>
          <w:szCs w:val="28"/>
        </w:rPr>
      </w:pPr>
      <w:r>
        <w:rPr>
          <w:rFonts w:hint="default" w:ascii="Times New Roman" w:hAnsi="Times New Roman" w:cs="Times New Roman"/>
          <w:sz w:val="28"/>
          <w:szCs w:val="28"/>
        </w:rPr>
        <w:t>АДМИНИСТРАЦИЯ</w:t>
      </w:r>
    </w:p>
    <w:p w14:paraId="64451553">
      <w:pPr>
        <w:pStyle w:val="2"/>
        <w:rPr>
          <w:rFonts w:hint="default" w:ascii="Times New Roman" w:hAnsi="Times New Roman" w:cs="Times New Roman"/>
          <w:sz w:val="28"/>
          <w:szCs w:val="28"/>
        </w:rPr>
      </w:pPr>
      <w:r>
        <w:rPr>
          <w:rFonts w:hint="default" w:ascii="Times New Roman" w:hAnsi="Times New Roman" w:cs="Times New Roman"/>
          <w:sz w:val="28"/>
          <w:szCs w:val="28"/>
        </w:rPr>
        <w:t>ТЕПЛОВСКОГО  МУНИЦИПАЛЬНОГО ОБРАЗОВАНИЯ</w:t>
      </w:r>
    </w:p>
    <w:p w14:paraId="56028564">
      <w:pPr>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НОВОБУРАССКОГО МУНИЦИПАЛЬНОГО РАЙОНА</w:t>
      </w:r>
    </w:p>
    <w:p w14:paraId="3389AF27">
      <w:pPr>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САРАТОВСКОЙ ОБЛАСТИ</w:t>
      </w:r>
    </w:p>
    <w:p w14:paraId="154CA6FD">
      <w:pPr>
        <w:jc w:val="center"/>
        <w:rPr>
          <w:rFonts w:hint="default" w:ascii="Times New Roman" w:hAnsi="Times New Roman" w:cs="Times New Roman"/>
          <w:b/>
          <w:sz w:val="28"/>
          <w:szCs w:val="28"/>
          <w:lang w:val="ru-RU"/>
        </w:rPr>
      </w:pPr>
    </w:p>
    <w:p w14:paraId="17E3E9AB">
      <w:pPr>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П О С Т А Н О В Л Е Н И Е</w:t>
      </w:r>
    </w:p>
    <w:p w14:paraId="72E0F5C0">
      <w:pPr>
        <w:jc w:val="center"/>
        <w:rPr>
          <w:rFonts w:hint="default" w:ascii="Times New Roman" w:hAnsi="Times New Roman" w:cs="Times New Roman"/>
          <w:b/>
          <w:sz w:val="28"/>
          <w:szCs w:val="28"/>
          <w:lang w:val="ru-RU"/>
        </w:rPr>
      </w:pPr>
    </w:p>
    <w:p w14:paraId="076ECBDC">
      <w:pPr>
        <w:rPr>
          <w:rFonts w:hint="default" w:ascii="Times New Roman" w:hAnsi="Times New Roman" w:cs="Times New Roman"/>
          <w:b/>
          <w:sz w:val="28"/>
          <w:szCs w:val="28"/>
          <w:lang w:val="ru-RU"/>
        </w:rPr>
      </w:pPr>
      <w:r>
        <w:rPr>
          <w:rFonts w:hint="default" w:ascii="Times New Roman" w:hAnsi="Times New Roman" w:cs="Times New Roman"/>
          <w:sz w:val="28"/>
          <w:szCs w:val="28"/>
          <w:lang w:val="ru-RU"/>
        </w:rPr>
        <w:t>От 22 января  2025 г.</w:t>
      </w:r>
      <w:r>
        <w:rPr>
          <w:rFonts w:hint="default" w:ascii="Times New Roman" w:hAnsi="Times New Roman" w:cs="Times New Roman"/>
          <w:sz w:val="28"/>
          <w:szCs w:val="28"/>
          <w:lang w:val="ru-RU"/>
        </w:rPr>
        <w:tab/>
      </w:r>
      <w:r>
        <w:rPr>
          <w:rFonts w:hint="default" w:ascii="Times New Roman" w:hAnsi="Times New Roman" w:cs="Times New Roman"/>
          <w:sz w:val="28"/>
          <w:szCs w:val="28"/>
          <w:lang w:val="ru-RU"/>
        </w:rPr>
        <w:tab/>
      </w:r>
      <w:r>
        <w:rPr>
          <w:rFonts w:hint="default" w:ascii="Times New Roman" w:hAnsi="Times New Roman" w:cs="Times New Roman"/>
          <w:sz w:val="28"/>
          <w:szCs w:val="28"/>
          <w:lang w:val="ru-RU"/>
        </w:rPr>
        <w:t xml:space="preserve">                                                                          № 7</w:t>
      </w:r>
    </w:p>
    <w:p w14:paraId="7743ABF9">
      <w:pPr>
        <w:rPr>
          <w:rFonts w:hint="default" w:ascii="Times New Roman" w:hAnsi="Times New Roman" w:cs="Times New Roman"/>
          <w:sz w:val="28"/>
          <w:szCs w:val="28"/>
          <w:lang w:val="ru-RU"/>
        </w:rPr>
      </w:pPr>
    </w:p>
    <w:p w14:paraId="6E6C0945">
      <w:pPr>
        <w:widowControl/>
        <w:suppressAutoHyphens/>
        <w:rPr>
          <w:rFonts w:hint="default" w:ascii="Times New Roman" w:hAnsi="Times New Roman" w:eastAsia="Times New Roman" w:cs="Times New Roman"/>
          <w:b/>
          <w:kern w:val="1"/>
          <w:sz w:val="28"/>
          <w:szCs w:val="28"/>
          <w:lang w:val="ru-RU" w:eastAsia="ar-SA"/>
        </w:rPr>
      </w:pPr>
      <w:r>
        <w:rPr>
          <w:rFonts w:hint="default" w:ascii="Times New Roman" w:hAnsi="Times New Roman" w:eastAsia="Times New Roman" w:cs="Times New Roman"/>
          <w:b/>
          <w:kern w:val="1"/>
          <w:sz w:val="28"/>
          <w:szCs w:val="28"/>
          <w:lang w:val="ru-RU" w:eastAsia="ar-SA"/>
        </w:rPr>
        <w:t xml:space="preserve">Об утверждении Порядка учета и ведения реестра </w:t>
      </w:r>
    </w:p>
    <w:p w14:paraId="0F8A1907">
      <w:pPr>
        <w:widowControl/>
        <w:suppressAutoHyphens/>
        <w:rPr>
          <w:rFonts w:ascii="Times New Roman" w:hAnsi="Times New Roman" w:eastAsia="Times New Roman" w:cs="Times New Roman"/>
          <w:b/>
          <w:kern w:val="1"/>
          <w:sz w:val="28"/>
          <w:szCs w:val="28"/>
          <w:lang w:val="ru-RU" w:eastAsia="ar-SA"/>
        </w:rPr>
      </w:pPr>
      <w:r>
        <w:rPr>
          <w:rFonts w:ascii="Times New Roman" w:hAnsi="Times New Roman" w:eastAsia="Times New Roman" w:cs="Times New Roman"/>
          <w:b/>
          <w:kern w:val="1"/>
          <w:sz w:val="28"/>
          <w:szCs w:val="28"/>
          <w:lang w:val="ru-RU" w:eastAsia="ar-SA"/>
        </w:rPr>
        <w:t xml:space="preserve">муниципального имущества Тепловского  сельского поселения </w:t>
      </w:r>
    </w:p>
    <w:p w14:paraId="788DF6EE">
      <w:pPr>
        <w:widowControl/>
        <w:suppressAutoHyphens/>
        <w:rPr>
          <w:rFonts w:ascii="Times New Roman" w:hAnsi="Times New Roman" w:eastAsia="Times New Roman" w:cs="Times New Roman"/>
          <w:b/>
          <w:kern w:val="1"/>
          <w:sz w:val="28"/>
          <w:szCs w:val="28"/>
          <w:lang w:val="ru-RU" w:eastAsia="ar-SA"/>
        </w:rPr>
      </w:pPr>
      <w:r>
        <w:rPr>
          <w:rFonts w:ascii="Times New Roman" w:hAnsi="Times New Roman" w:eastAsia="Times New Roman" w:cs="Times New Roman"/>
          <w:b/>
          <w:kern w:val="1"/>
          <w:sz w:val="28"/>
          <w:szCs w:val="28"/>
          <w:lang w:val="ru-RU" w:eastAsia="ar-SA"/>
        </w:rPr>
        <w:t xml:space="preserve">Новобурасского муниципального района Саратовской  области </w:t>
      </w:r>
    </w:p>
    <w:p w14:paraId="4915203C">
      <w:pPr>
        <w:widowControl/>
        <w:suppressAutoHyphens/>
        <w:rPr>
          <w:rFonts w:ascii="Times New Roman" w:hAnsi="Times New Roman" w:eastAsia="Times New Roman" w:cs="Times New Roman"/>
          <w:b/>
          <w:kern w:val="1"/>
          <w:sz w:val="28"/>
          <w:szCs w:val="28"/>
          <w:lang w:val="ru-RU" w:eastAsia="ar-SA"/>
        </w:rPr>
      </w:pPr>
    </w:p>
    <w:p w14:paraId="6EB572E1">
      <w:pPr>
        <w:widowControl/>
        <w:suppressAutoHyphens/>
        <w:jc w:val="both"/>
        <w:rPr>
          <w:rFonts w:ascii="Times New Roman" w:hAnsi="Times New Roman" w:eastAsia="Times New Roman" w:cs="Times New Roman"/>
          <w:kern w:val="1"/>
          <w:sz w:val="28"/>
          <w:szCs w:val="28"/>
          <w:lang w:val="ru-RU" w:eastAsia="ar-SA"/>
        </w:rPr>
      </w:pPr>
    </w:p>
    <w:p w14:paraId="55ADE4E9">
      <w:pPr>
        <w:widowControl/>
        <w:suppressAutoHyphens/>
        <w:spacing w:line="276" w:lineRule="auto"/>
        <w:ind w:right="-285"/>
        <w:jc w:val="both"/>
        <w:rPr>
          <w:rFonts w:ascii="Times New Roman" w:hAnsi="Times New Roman" w:eastAsia="Times New Roman" w:cs="Times New Roman"/>
          <w:kern w:val="1"/>
          <w:sz w:val="28"/>
          <w:szCs w:val="28"/>
          <w:lang w:val="ru-RU" w:eastAsia="ar-SA"/>
        </w:rPr>
      </w:pPr>
      <w:r>
        <w:rPr>
          <w:rFonts w:ascii="Times New Roman" w:hAnsi="Times New Roman" w:eastAsia="Times New Roman" w:cs="Times New Roman"/>
          <w:kern w:val="1"/>
          <w:sz w:val="28"/>
          <w:szCs w:val="28"/>
          <w:lang w:val="ru-RU" w:eastAsia="ar-SA"/>
        </w:rPr>
        <w:t>В соответствии с Федеральным законом от 06.10.2003 № 131-ФЗ «Об общих принципах организации местного самоуправления в Российской Федерации», Приказом министерства финансов Российской Федерации от 10.10.2023 № 163-н «Об утверждении порядка ведения органами местного самоуправления реестров муниципального имущества», руководствуясь Уставом Тепловского сельского поселения Новобурасского муниципального района Саратовской области,</w:t>
      </w:r>
    </w:p>
    <w:p w14:paraId="5A08EC8B">
      <w:pPr>
        <w:widowControl/>
        <w:suppressAutoHyphens/>
        <w:ind w:right="-285"/>
        <w:jc w:val="both"/>
        <w:rPr>
          <w:rFonts w:ascii="Times New Roman" w:hAnsi="Times New Roman" w:eastAsia="Times New Roman" w:cs="Times New Roman"/>
          <w:color w:val="FF0000"/>
          <w:sz w:val="28"/>
          <w:szCs w:val="28"/>
          <w:lang w:val="ru-RU" w:eastAsia="ar-SA"/>
        </w:rPr>
      </w:pPr>
    </w:p>
    <w:p w14:paraId="2631B7D1">
      <w:pPr>
        <w:widowControl/>
        <w:suppressAutoHyphens/>
        <w:ind w:right="-285"/>
        <w:rPr>
          <w:rFonts w:ascii="Times New Roman" w:hAnsi="Times New Roman" w:eastAsia="Times New Roman" w:cs="Times New Roman"/>
          <w:b/>
          <w:sz w:val="28"/>
          <w:szCs w:val="28"/>
          <w:lang w:val="ru-RU" w:eastAsia="ar-SA"/>
        </w:rPr>
      </w:pPr>
      <w:r>
        <w:rPr>
          <w:rFonts w:ascii="Times New Roman" w:hAnsi="Times New Roman" w:eastAsia="Times New Roman" w:cs="Times New Roman"/>
          <w:b/>
          <w:sz w:val="28"/>
          <w:szCs w:val="28"/>
          <w:lang w:val="ru-RU" w:eastAsia="ar-SA"/>
        </w:rPr>
        <w:t>ПОСТАНОВЛЯЮ:</w:t>
      </w:r>
    </w:p>
    <w:p w14:paraId="60E7F0AE">
      <w:pPr>
        <w:widowControl/>
        <w:suppressAutoHyphens/>
        <w:ind w:right="-285"/>
        <w:jc w:val="both"/>
        <w:rPr>
          <w:rFonts w:ascii="Times New Roman" w:hAnsi="Times New Roman" w:eastAsia="Times New Roman" w:cs="Times New Roman"/>
          <w:sz w:val="28"/>
          <w:szCs w:val="28"/>
          <w:lang w:val="ru-RU" w:eastAsia="ar-SA"/>
        </w:rPr>
      </w:pPr>
    </w:p>
    <w:p w14:paraId="315E22C2">
      <w:pPr>
        <w:pStyle w:val="8"/>
        <w:spacing w:before="0" w:beforeAutospacing="0" w:after="0" w:afterAutospacing="0" w:line="276" w:lineRule="auto"/>
        <w:jc w:val="both"/>
        <w:rPr>
          <w:sz w:val="28"/>
          <w:szCs w:val="28"/>
        </w:rPr>
      </w:pPr>
      <w:r>
        <w:rPr>
          <w:sz w:val="28"/>
          <w:szCs w:val="28"/>
        </w:rPr>
        <w:t xml:space="preserve">      1. Утвердить прилагаемый Порядок ведения реестра муниципального имущества  Тепловского сельского поселения Новобурасского муниципального района Саратовской области.</w:t>
      </w:r>
    </w:p>
    <w:p w14:paraId="24CA48FD">
      <w:pPr>
        <w:jc w:val="both"/>
        <w:rPr>
          <w:rFonts w:ascii="Times New Roman" w:hAnsi="Times New Roman" w:cs="Times New Roman"/>
          <w:sz w:val="28"/>
          <w:szCs w:val="28"/>
        </w:rPr>
      </w:pPr>
      <w:r>
        <w:rPr>
          <w:rFonts w:ascii="Times New Roman" w:hAnsi="Times New Roman" w:cs="Times New Roman"/>
          <w:bCs/>
          <w:sz w:val="28"/>
          <w:szCs w:val="28"/>
          <w:lang w:val="ru-RU"/>
        </w:rPr>
        <w:t xml:space="preserve">     2.Настоящее постановление вступает в силу со дня его официального обнародования</w:t>
      </w:r>
      <w:r>
        <w:rPr>
          <w:rFonts w:ascii="Times New Roman" w:hAnsi="Times New Roman" w:cs="Times New Roman"/>
          <w:sz w:val="28"/>
          <w:szCs w:val="28"/>
          <w:lang w:val="ru-RU"/>
        </w:rPr>
        <w:t xml:space="preserve"> в специально выделенных для официального опубликования (обнародования) местах, утвержденных Решением Совета Тепловского муниципального образования от 17.04.2019г. №40 «О порядке официального опубликования (обнародования) муниципальных правовых актов в Тепловском муниципальном образовании». </w:t>
      </w:r>
      <w:r>
        <w:rPr>
          <w:rFonts w:ascii="Times New Roman" w:hAnsi="Times New Roman" w:cs="Times New Roman"/>
          <w:sz w:val="28"/>
          <w:szCs w:val="28"/>
        </w:rPr>
        <w:t xml:space="preserve">Настоящее постановление подлежит размещению на сайте администрации Новобурасского муниципального района в сети Интернет </w:t>
      </w:r>
      <w:r>
        <w:rPr>
          <w:rFonts w:ascii="Times New Roman" w:hAnsi="Times New Roman" w:cs="Times New Roman"/>
          <w:bCs/>
          <w:kern w:val="2"/>
          <w:sz w:val="28"/>
          <w:szCs w:val="28"/>
        </w:rPr>
        <w:t>(</w:t>
      </w:r>
      <w:r>
        <w:fldChar w:fldCharType="begin"/>
      </w:r>
      <w:r>
        <w:instrText xml:space="preserve"> HYPERLINK "http://www.admnburasy.ru/" </w:instrText>
      </w:r>
      <w:r>
        <w:fldChar w:fldCharType="separate"/>
      </w:r>
      <w:r>
        <w:rPr>
          <w:rStyle w:val="5"/>
          <w:rFonts w:ascii="Times New Roman" w:hAnsi="Times New Roman" w:cs="Times New Roman" w:eastAsiaTheme="majorEastAsia"/>
          <w:bCs/>
          <w:kern w:val="2"/>
          <w:sz w:val="28"/>
          <w:szCs w:val="28"/>
        </w:rPr>
        <w:t>http://www.admnburasy.ru/</w:t>
      </w:r>
      <w:r>
        <w:rPr>
          <w:rStyle w:val="5"/>
          <w:rFonts w:ascii="Times New Roman" w:hAnsi="Times New Roman" w:cs="Times New Roman" w:eastAsiaTheme="majorEastAsia"/>
          <w:bCs/>
          <w:kern w:val="2"/>
          <w:sz w:val="28"/>
          <w:szCs w:val="28"/>
        </w:rPr>
        <w:fldChar w:fldCharType="end"/>
      </w:r>
      <w:r>
        <w:rPr>
          <w:rFonts w:ascii="Times New Roman" w:hAnsi="Times New Roman" w:cs="Times New Roman"/>
          <w:bCs/>
          <w:kern w:val="2"/>
          <w:sz w:val="28"/>
          <w:szCs w:val="28"/>
        </w:rPr>
        <w:t xml:space="preserve">) </w:t>
      </w:r>
    </w:p>
    <w:p w14:paraId="714E1802">
      <w:pPr>
        <w:pStyle w:val="12"/>
        <w:ind w:left="142"/>
        <w:jc w:val="both"/>
        <w:rPr>
          <w:sz w:val="28"/>
          <w:szCs w:val="28"/>
        </w:rPr>
      </w:pPr>
      <w:r>
        <w:rPr>
          <w:sz w:val="28"/>
          <w:szCs w:val="28"/>
        </w:rPr>
        <w:t>3.Контроль за исполнением настоящего постановления оставляю за собой.</w:t>
      </w:r>
    </w:p>
    <w:p w14:paraId="3CEBFE88">
      <w:pPr>
        <w:jc w:val="both"/>
        <w:rPr>
          <w:rFonts w:ascii="Times New Roman" w:hAnsi="Times New Roman" w:cs="Times New Roman"/>
          <w:sz w:val="28"/>
          <w:szCs w:val="28"/>
          <w:lang w:val="ru-RU"/>
        </w:rPr>
      </w:pPr>
    </w:p>
    <w:p w14:paraId="626EBB26">
      <w:pPr>
        <w:jc w:val="both"/>
        <w:rPr>
          <w:rFonts w:ascii="Times New Roman" w:hAnsi="Times New Roman" w:cs="Times New Roman"/>
          <w:sz w:val="28"/>
          <w:szCs w:val="28"/>
          <w:lang w:val="ru-RU"/>
        </w:rPr>
      </w:pPr>
    </w:p>
    <w:p w14:paraId="7D7B161B">
      <w:pPr>
        <w:autoSpaceDE w:val="0"/>
        <w:autoSpaceDN w:val="0"/>
        <w:adjustRightInd w:val="0"/>
        <w:jc w:val="both"/>
        <w:rPr>
          <w:rFonts w:ascii="Times New Roman" w:hAnsi="Times New Roman" w:cs="Times New Roman"/>
          <w:sz w:val="28"/>
          <w:szCs w:val="28"/>
          <w:lang w:val="ru-RU"/>
        </w:rPr>
      </w:pPr>
      <w:r>
        <w:rPr>
          <w:rFonts w:ascii="Times New Roman" w:hAnsi="Times New Roman" w:cs="Times New Roman"/>
          <w:bCs/>
          <w:sz w:val="28"/>
          <w:szCs w:val="28"/>
          <w:lang w:val="ru-RU"/>
        </w:rPr>
        <w:t xml:space="preserve">Глава  Тепловского муниципального образования </w:t>
      </w:r>
    </w:p>
    <w:p w14:paraId="1158DC47">
      <w:pPr>
        <w:pStyle w:val="7"/>
        <w:spacing w:after="0"/>
        <w:rPr>
          <w:bCs/>
          <w:sz w:val="28"/>
          <w:szCs w:val="28"/>
        </w:rPr>
      </w:pPr>
      <w:r>
        <w:rPr>
          <w:bCs/>
          <w:sz w:val="28"/>
          <w:szCs w:val="28"/>
        </w:rPr>
        <w:t xml:space="preserve">Новобурасского Муниципального района </w:t>
      </w:r>
    </w:p>
    <w:p w14:paraId="7FE9A9A9">
      <w:pPr>
        <w:pStyle w:val="7"/>
        <w:spacing w:after="0"/>
        <w:rPr>
          <w:bCs/>
          <w:sz w:val="28"/>
          <w:szCs w:val="28"/>
        </w:rPr>
      </w:pPr>
      <w:r>
        <w:rPr>
          <w:bCs/>
          <w:sz w:val="28"/>
          <w:szCs w:val="28"/>
        </w:rPr>
        <w:t>Саратовской области                                                                           С.А.Протасов</w:t>
      </w:r>
    </w:p>
    <w:p w14:paraId="5A54310F">
      <w:pPr>
        <w:widowControl/>
        <w:suppressAutoHyphens/>
        <w:spacing w:before="280" w:after="280"/>
        <w:ind w:left="5245" w:right="-285"/>
        <w:contextualSpacing/>
        <w:jc w:val="right"/>
        <w:rPr>
          <w:rFonts w:ascii="Times New Roman" w:hAnsi="Times New Roman" w:eastAsia="Times New Roman" w:cs="Times New Roman"/>
          <w:i/>
          <w:color w:val="000000"/>
          <w:sz w:val="28"/>
          <w:szCs w:val="28"/>
          <w:lang w:val="ru-RU" w:eastAsia="ar-SA"/>
        </w:rPr>
      </w:pPr>
    </w:p>
    <w:p w14:paraId="5AA68FAE">
      <w:pPr>
        <w:widowControl/>
        <w:suppressAutoHyphens/>
        <w:spacing w:before="280" w:after="280"/>
        <w:ind w:left="5245" w:right="-285"/>
        <w:contextualSpacing/>
        <w:jc w:val="right"/>
        <w:rPr>
          <w:rFonts w:ascii="Times New Roman" w:hAnsi="Times New Roman" w:eastAsia="Times New Roman" w:cs="Times New Roman"/>
          <w:i/>
          <w:color w:val="000000"/>
          <w:sz w:val="24"/>
          <w:szCs w:val="24"/>
          <w:lang w:val="ru-RU" w:eastAsia="ar-SA"/>
        </w:rPr>
      </w:pPr>
    </w:p>
    <w:p w14:paraId="3089C9C0">
      <w:pPr>
        <w:widowControl/>
        <w:suppressAutoHyphens/>
        <w:spacing w:before="280" w:after="280"/>
        <w:ind w:left="5245" w:right="-285"/>
        <w:contextualSpacing/>
        <w:jc w:val="right"/>
        <w:rPr>
          <w:rFonts w:ascii="Times New Roman" w:hAnsi="Times New Roman" w:eastAsia="Times New Roman" w:cs="Times New Roman"/>
          <w:i/>
          <w:color w:val="000000"/>
          <w:sz w:val="24"/>
          <w:szCs w:val="24"/>
          <w:lang w:val="ru-RU" w:eastAsia="ar-SA"/>
        </w:rPr>
      </w:pPr>
    </w:p>
    <w:p w14:paraId="4A0FE629">
      <w:pPr>
        <w:widowControl/>
        <w:suppressAutoHyphens/>
        <w:spacing w:before="280" w:after="280"/>
        <w:ind w:left="5245" w:right="-285"/>
        <w:contextualSpacing/>
        <w:jc w:val="right"/>
        <w:rPr>
          <w:rFonts w:ascii="Times New Roman" w:hAnsi="Times New Roman" w:eastAsia="Times New Roman" w:cs="Times New Roman"/>
          <w:i/>
          <w:color w:val="000000"/>
          <w:sz w:val="24"/>
          <w:szCs w:val="24"/>
          <w:lang w:val="ru-RU" w:eastAsia="ar-SA"/>
        </w:rPr>
      </w:pPr>
    </w:p>
    <w:p w14:paraId="0BF8FFC4">
      <w:pPr>
        <w:widowControl/>
        <w:suppressAutoHyphens/>
        <w:spacing w:before="280" w:after="280"/>
        <w:ind w:left="5245" w:right="-285"/>
        <w:contextualSpacing/>
        <w:jc w:val="right"/>
        <w:rPr>
          <w:rFonts w:ascii="Times New Roman" w:hAnsi="Times New Roman" w:eastAsia="Times New Roman" w:cs="Times New Roman"/>
          <w:i/>
          <w:color w:val="000000"/>
          <w:sz w:val="24"/>
          <w:szCs w:val="24"/>
          <w:lang w:val="ru-RU" w:eastAsia="ar-SA"/>
        </w:rPr>
      </w:pPr>
    </w:p>
    <w:p w14:paraId="4333771C">
      <w:pPr>
        <w:widowControl/>
        <w:suppressAutoHyphens/>
        <w:spacing w:before="280" w:after="280"/>
        <w:ind w:left="5245" w:right="-285"/>
        <w:contextualSpacing/>
        <w:jc w:val="right"/>
        <w:rPr>
          <w:rFonts w:ascii="Times New Roman" w:hAnsi="Times New Roman" w:eastAsia="Times New Roman" w:cs="Times New Roman"/>
          <w:i/>
          <w:color w:val="000000"/>
          <w:sz w:val="24"/>
          <w:szCs w:val="24"/>
          <w:lang w:val="ru-RU" w:eastAsia="ar-SA"/>
        </w:rPr>
      </w:pPr>
    </w:p>
    <w:p w14:paraId="06ED2CFD">
      <w:pPr>
        <w:widowControl/>
        <w:suppressAutoHyphens/>
        <w:spacing w:before="280" w:after="280"/>
        <w:ind w:left="5245" w:right="-285"/>
        <w:contextualSpacing/>
        <w:jc w:val="right"/>
        <w:rPr>
          <w:rFonts w:ascii="Times New Roman" w:hAnsi="Times New Roman" w:eastAsia="Times New Roman" w:cs="Times New Roman"/>
          <w:i/>
          <w:color w:val="000000"/>
          <w:sz w:val="24"/>
          <w:szCs w:val="24"/>
          <w:lang w:val="ru-RU" w:eastAsia="ar-SA"/>
        </w:rPr>
      </w:pPr>
    </w:p>
    <w:p w14:paraId="09909119">
      <w:pPr>
        <w:widowControl/>
        <w:suppressAutoHyphens/>
        <w:spacing w:before="280" w:after="280"/>
        <w:ind w:left="5245" w:right="-285"/>
        <w:contextualSpacing/>
        <w:jc w:val="right"/>
        <w:rPr>
          <w:rFonts w:ascii="Times New Roman" w:hAnsi="Times New Roman" w:eastAsia="Times New Roman" w:cs="Times New Roman"/>
          <w:i w:val="0"/>
          <w:iCs/>
          <w:color w:val="000000"/>
          <w:sz w:val="24"/>
          <w:szCs w:val="24"/>
          <w:lang w:val="ru-RU" w:eastAsia="ar-SA"/>
        </w:rPr>
      </w:pPr>
      <w:r>
        <w:rPr>
          <w:rFonts w:ascii="Times New Roman" w:hAnsi="Times New Roman" w:eastAsia="Times New Roman" w:cs="Times New Roman"/>
          <w:i w:val="0"/>
          <w:iCs/>
          <w:color w:val="000000"/>
          <w:sz w:val="24"/>
          <w:szCs w:val="24"/>
          <w:lang w:val="ru-RU" w:eastAsia="ar-SA"/>
        </w:rPr>
        <w:t>Приложение</w:t>
      </w:r>
    </w:p>
    <w:p w14:paraId="745351CA">
      <w:pPr>
        <w:widowControl/>
        <w:suppressAutoHyphens/>
        <w:spacing w:before="280" w:after="280"/>
        <w:ind w:left="5245" w:right="-285"/>
        <w:contextualSpacing/>
        <w:jc w:val="right"/>
        <w:rPr>
          <w:rFonts w:ascii="Times New Roman" w:hAnsi="Times New Roman" w:eastAsia="Times New Roman" w:cs="Times New Roman"/>
          <w:i w:val="0"/>
          <w:iCs/>
          <w:color w:val="000000"/>
          <w:sz w:val="24"/>
          <w:szCs w:val="24"/>
          <w:lang w:val="ru-RU" w:eastAsia="ar-SA"/>
        </w:rPr>
      </w:pPr>
      <w:r>
        <w:rPr>
          <w:rFonts w:ascii="Times New Roman" w:hAnsi="Times New Roman" w:eastAsia="Times New Roman" w:cs="Times New Roman"/>
          <w:i w:val="0"/>
          <w:iCs/>
          <w:color w:val="000000"/>
          <w:sz w:val="24"/>
          <w:szCs w:val="24"/>
          <w:lang w:val="ru-RU" w:eastAsia="ar-SA"/>
        </w:rPr>
        <w:t>к постановлению</w:t>
      </w:r>
      <w:r>
        <w:rPr>
          <w:rFonts w:hint="default" w:ascii="Times New Roman" w:hAnsi="Times New Roman" w:eastAsia="Times New Roman" w:cs="Times New Roman"/>
          <w:i w:val="0"/>
          <w:iCs/>
          <w:color w:val="000000"/>
          <w:sz w:val="24"/>
          <w:szCs w:val="24"/>
          <w:lang w:val="ru-RU" w:eastAsia="ar-SA"/>
        </w:rPr>
        <w:t xml:space="preserve"> администрации Тепловского муниципального образования </w:t>
      </w:r>
      <w:r>
        <w:rPr>
          <w:rFonts w:ascii="Times New Roman" w:hAnsi="Times New Roman" w:eastAsia="Times New Roman" w:cs="Times New Roman"/>
          <w:i w:val="0"/>
          <w:iCs/>
          <w:color w:val="000000"/>
          <w:sz w:val="24"/>
          <w:szCs w:val="24"/>
          <w:lang w:val="ru-RU" w:eastAsia="ar-SA"/>
        </w:rPr>
        <w:t xml:space="preserve"> №</w:t>
      </w:r>
      <w:r>
        <w:rPr>
          <w:rFonts w:hint="default" w:ascii="Times New Roman" w:hAnsi="Times New Roman" w:eastAsia="Times New Roman" w:cs="Times New Roman"/>
          <w:i w:val="0"/>
          <w:iCs/>
          <w:color w:val="000000"/>
          <w:sz w:val="24"/>
          <w:szCs w:val="24"/>
          <w:lang w:val="ru-RU" w:eastAsia="ar-SA"/>
        </w:rPr>
        <w:t xml:space="preserve"> 7</w:t>
      </w:r>
      <w:r>
        <w:rPr>
          <w:rFonts w:ascii="Times New Roman" w:hAnsi="Times New Roman" w:eastAsia="Times New Roman" w:cs="Times New Roman"/>
          <w:i w:val="0"/>
          <w:iCs/>
          <w:color w:val="000000"/>
          <w:sz w:val="24"/>
          <w:szCs w:val="24"/>
          <w:lang w:val="ru-RU" w:eastAsia="ar-SA"/>
        </w:rPr>
        <w:t xml:space="preserve">  от</w:t>
      </w:r>
      <w:r>
        <w:rPr>
          <w:rFonts w:hint="default" w:ascii="Times New Roman" w:hAnsi="Times New Roman" w:eastAsia="Times New Roman" w:cs="Times New Roman"/>
          <w:i w:val="0"/>
          <w:iCs/>
          <w:color w:val="000000"/>
          <w:sz w:val="24"/>
          <w:szCs w:val="24"/>
          <w:lang w:val="ru-RU" w:eastAsia="ar-SA"/>
        </w:rPr>
        <w:t>22.01</w:t>
      </w:r>
      <w:r>
        <w:rPr>
          <w:rFonts w:ascii="Times New Roman" w:hAnsi="Times New Roman" w:eastAsia="Times New Roman" w:cs="Times New Roman"/>
          <w:i w:val="0"/>
          <w:iCs/>
          <w:color w:val="000000"/>
          <w:sz w:val="24"/>
          <w:szCs w:val="24"/>
          <w:lang w:val="ru-RU" w:eastAsia="ar-SA"/>
        </w:rPr>
        <w:t>.2024 г.</w:t>
      </w:r>
    </w:p>
    <w:p w14:paraId="62B051F5">
      <w:pPr>
        <w:widowControl/>
        <w:suppressAutoHyphens/>
        <w:spacing w:before="280" w:after="280"/>
        <w:ind w:left="5245" w:right="-285"/>
        <w:contextualSpacing/>
        <w:jc w:val="right"/>
        <w:rPr>
          <w:rFonts w:ascii="Times New Roman" w:hAnsi="Times New Roman" w:eastAsia="Times New Roman" w:cs="Times New Roman"/>
          <w:i/>
          <w:color w:val="000000"/>
          <w:sz w:val="24"/>
          <w:szCs w:val="24"/>
          <w:lang w:val="ru-RU" w:eastAsia="ar-SA"/>
        </w:rPr>
      </w:pPr>
    </w:p>
    <w:p w14:paraId="443A5CA6">
      <w:pPr>
        <w:widowControl/>
        <w:suppressAutoHyphens/>
        <w:spacing w:before="280" w:after="280"/>
        <w:ind w:right="-285"/>
        <w:contextualSpacing/>
        <w:jc w:val="both"/>
        <w:rPr>
          <w:rFonts w:ascii="Times New Roman" w:hAnsi="Times New Roman" w:eastAsia="Times New Roman" w:cs="Times New Roman"/>
          <w:color w:val="000000"/>
          <w:sz w:val="24"/>
          <w:szCs w:val="24"/>
          <w:lang w:val="ru-RU" w:eastAsia="ar-SA"/>
        </w:rPr>
      </w:pPr>
    </w:p>
    <w:p w14:paraId="6B47B5F0">
      <w:pPr>
        <w:autoSpaceDE w:val="0"/>
        <w:autoSpaceDN w:val="0"/>
        <w:adjustRightInd w:val="0"/>
        <w:ind w:firstLine="567"/>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 xml:space="preserve">Порядок </w:t>
      </w:r>
    </w:p>
    <w:p w14:paraId="6D0739A4">
      <w:pPr>
        <w:autoSpaceDE w:val="0"/>
        <w:autoSpaceDN w:val="0"/>
        <w:adjustRightInd w:val="0"/>
        <w:ind w:firstLine="567"/>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ведения реестра муниципального имущества Тепловского</w:t>
      </w:r>
      <w:r>
        <w:rPr>
          <w:rFonts w:hint="default" w:ascii="Times New Roman" w:hAnsi="Times New Roman" w:eastAsia="Times New Roman" w:cs="Times New Roman"/>
          <w:b/>
          <w:sz w:val="24"/>
          <w:szCs w:val="24"/>
          <w:lang w:val="en-US" w:eastAsia="ru-RU"/>
        </w:rPr>
        <w:t xml:space="preserve"> </w:t>
      </w:r>
      <w:r>
        <w:rPr>
          <w:rFonts w:ascii="Times New Roman" w:hAnsi="Times New Roman" w:eastAsia="Times New Roman" w:cs="Times New Roman"/>
          <w:b/>
          <w:sz w:val="24"/>
          <w:szCs w:val="24"/>
          <w:lang w:val="ru-RU" w:eastAsia="ru-RU"/>
        </w:rPr>
        <w:t>сельского поселения Новобурасского муниципального района Саратовской</w:t>
      </w:r>
      <w:r>
        <w:rPr>
          <w:rFonts w:hint="default" w:ascii="Times New Roman" w:hAnsi="Times New Roman" w:eastAsia="Times New Roman" w:cs="Times New Roman"/>
          <w:b/>
          <w:sz w:val="24"/>
          <w:szCs w:val="24"/>
          <w:lang w:val="en-US" w:eastAsia="ru-RU"/>
        </w:rPr>
        <w:t xml:space="preserve"> </w:t>
      </w:r>
      <w:r>
        <w:rPr>
          <w:rFonts w:ascii="Times New Roman" w:hAnsi="Times New Roman" w:eastAsia="Times New Roman" w:cs="Times New Roman"/>
          <w:b/>
          <w:sz w:val="24"/>
          <w:szCs w:val="24"/>
          <w:lang w:val="ru-RU" w:eastAsia="ru-RU"/>
        </w:rPr>
        <w:t xml:space="preserve"> области </w:t>
      </w:r>
    </w:p>
    <w:p w14:paraId="57EAC857">
      <w:pPr>
        <w:autoSpaceDE w:val="0"/>
        <w:autoSpaceDN w:val="0"/>
        <w:adjustRightInd w:val="0"/>
        <w:ind w:firstLine="567"/>
        <w:jc w:val="center"/>
        <w:rPr>
          <w:rFonts w:ascii="Times New Roman" w:hAnsi="Times New Roman" w:eastAsia="Times New Roman" w:cs="Times New Roman"/>
          <w:b/>
          <w:sz w:val="24"/>
          <w:szCs w:val="24"/>
          <w:lang w:val="ru-RU" w:eastAsia="ru-RU"/>
        </w:rPr>
      </w:pPr>
      <w:r>
        <w:rPr>
          <w:rFonts w:ascii="Times New Roman" w:hAnsi="Times New Roman" w:eastAsia="Times New Roman" w:cs="Times New Roman"/>
          <w:b/>
          <w:sz w:val="24"/>
          <w:szCs w:val="24"/>
          <w:lang w:val="ru-RU" w:eastAsia="ru-RU"/>
        </w:rPr>
        <w:t>(далее – Порядок)</w:t>
      </w:r>
    </w:p>
    <w:p w14:paraId="41724123">
      <w:pPr>
        <w:autoSpaceDE w:val="0"/>
        <w:autoSpaceDN w:val="0"/>
        <w:adjustRightInd w:val="0"/>
        <w:ind w:firstLine="567"/>
        <w:jc w:val="center"/>
        <w:outlineLvl w:val="1"/>
        <w:rPr>
          <w:rFonts w:ascii="Times New Roman" w:hAnsi="Times New Roman" w:eastAsia="Times New Roman" w:cs="Times New Roman"/>
          <w:sz w:val="24"/>
          <w:szCs w:val="24"/>
          <w:lang w:val="ru-RU" w:eastAsia="ru-RU"/>
        </w:rPr>
      </w:pPr>
    </w:p>
    <w:p w14:paraId="6678A4D2">
      <w:pPr>
        <w:pStyle w:val="10"/>
        <w:ind w:firstLine="72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I. Общие положения</w:t>
      </w:r>
    </w:p>
    <w:p w14:paraId="166FADC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 Настоящий Порядок устанавливает правила ведения сельским поселением Приволжье муниципального района Приволжский Самарской области (далее -  орган местного самоуправления) реестра муниципального имущества (далее - реестр), в том числе состав подлежащего учету муниципального имущества и порядок его учета, состав сведений, подлежащих отражению в реестрах, а также порядок предоставления содержащейся в реестрах информации о муниципальном имуществе.</w:t>
      </w:r>
    </w:p>
    <w:p w14:paraId="42D95224">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Учет муниципального имущества включает получение, экспертизу и хранение документов, содержащих сведения о муниципальном имуществе, и внесение указанных сведений в реестр в объеме, необходимом для осуществления полномочий по управлению и распоряжению муниципальным имуществом.</w:t>
      </w:r>
    </w:p>
    <w:p w14:paraId="57959520">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2. Объектом учета муниципального имущества (далее - объект учета) является следующее муниципальное имущество:</w:t>
      </w:r>
      <w:bookmarkStart w:id="2" w:name="_GoBack"/>
      <w:bookmarkEnd w:id="2"/>
    </w:p>
    <w:p w14:paraId="6012A4A3">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объект незавершенного строительства, единый недвижимый комплекс, а также жилые и нежилые помещения, машино-места и подлежащие государственной регистрации воздушные и морские суда, суда внутреннего плавания либо иное имущество, отнесенное законом к недвижимым вещам);</w:t>
      </w:r>
    </w:p>
    <w:p w14:paraId="410AF44E">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движимые вещи (в том числе документарные ценные бумаги (акции) либо иное не относящееся к недвижимым вещам имущество, стоимость которого превышает размер, определенный решениями представительных органов соответствующих муниципальных образований</w:t>
      </w:r>
      <w:r>
        <w:fldChar w:fldCharType="begin"/>
      </w:r>
      <w:r>
        <w:instrText xml:space="preserve"> HYPERLINK "https://www.garant.ru/products/ipo/prime/doc/408023687/?ysclid=lu2fpuegk5115412271" \l "1111" </w:instrText>
      </w:r>
      <w:r>
        <w:fldChar w:fldCharType="separate"/>
      </w:r>
      <w:r>
        <w:rPr>
          <w:rStyle w:val="5"/>
          <w:rFonts w:ascii="Times New Roman" w:hAnsi="Times New Roman" w:cs="Times New Roman"/>
          <w:sz w:val="24"/>
          <w:szCs w:val="24"/>
          <w:vertAlign w:val="superscript"/>
          <w:lang w:eastAsia="ru-RU"/>
        </w:rPr>
        <w:t>1</w:t>
      </w:r>
      <w:r>
        <w:rPr>
          <w:rStyle w:val="5"/>
          <w:rFonts w:ascii="Times New Roman" w:hAnsi="Times New Roman" w:cs="Times New Roman"/>
          <w:sz w:val="24"/>
          <w:szCs w:val="24"/>
          <w:vertAlign w:val="superscript"/>
          <w:lang w:eastAsia="ru-RU"/>
        </w:rPr>
        <w:fldChar w:fldCharType="end"/>
      </w:r>
      <w:r>
        <w:rPr>
          <w:rFonts w:ascii="Times New Roman" w:hAnsi="Times New Roman" w:cs="Times New Roman"/>
          <w:sz w:val="24"/>
          <w:szCs w:val="24"/>
          <w:lang w:eastAsia="ru-RU"/>
        </w:rPr>
        <w:t>;</w:t>
      </w:r>
    </w:p>
    <w:p w14:paraId="4977FA91">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иное имущество (в том числе бездокументарные ценные бумаги), не относящееся к недвижимым и движимым вещам, стоимость которого превышает размер, определенный решениями представительных органов соответствующих муниципальных образований.</w:t>
      </w:r>
    </w:p>
    <w:p w14:paraId="3F099F82">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3. Учет находящихся в муниципальной собственности природных ресурсов (объектов), драгоценных металлов и драгоценных камней, музейных предметов и музейных коллекций, а также средств местных бюджетов регулируется законодательством о природных ресурсах, драгоценных металлах и драгоценных камнях, Музейном фонде Российской Федерации и музеях в Российской Федерации и бюджетным законодательством Российской Федерации.</w:t>
      </w:r>
    </w:p>
    <w:p w14:paraId="1965B235">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4. Учет муниципального имущества, сведения об объектах и (или) о количестве объектов которого составляют государственную тайну, осуществляется муниципальным органом, в распоряжении которого находятся сведения, отнесенные в соответствии со статьей 9 Закона Российской Федерации от 21 июля 1993 г. № 5485-1 «О государственной тайне» к государственной тайне, самостоятельно.</w:t>
      </w:r>
    </w:p>
    <w:p w14:paraId="607B6ED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5. Ведение реестров осуществляется уполномоченными органами местного самоуправления соответствующих муниципальных образований (далее - уполномоченный орган).</w:t>
      </w:r>
    </w:p>
    <w:p w14:paraId="3396B633">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6. Учет муниципального имущества в реестре сопровождается присвоением реестрового номера муниципального имущества (далее - реестровый номер), структура и правила формирования такого номера определяются уполномоченным органом самостоятельно.</w:t>
      </w:r>
    </w:p>
    <w:p w14:paraId="06E58994">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7. Документом, подтверждающим факт учета муниципального имущества в реестре, является выписка из реестра,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(далее - выписка из реестра).</w:t>
      </w:r>
    </w:p>
    <w:p w14:paraId="4B808B0A">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Рекомендуемый образец выписки из реестра приведен в </w:t>
      </w:r>
      <w:r>
        <w:fldChar w:fldCharType="begin"/>
      </w:r>
      <w:r>
        <w:instrText xml:space="preserve"> HYPERLINK "https://www.garant.ru/products/ipo/prime/doc/408023687/?ysclid=lu2fpuegk5115412271" \l "11000" </w:instrText>
      </w:r>
      <w:r>
        <w:fldChar w:fldCharType="separate"/>
      </w:r>
      <w:r>
        <w:rPr>
          <w:rStyle w:val="5"/>
          <w:rFonts w:ascii="Times New Roman" w:hAnsi="Times New Roman" w:cs="Times New Roman"/>
          <w:sz w:val="24"/>
          <w:szCs w:val="24"/>
          <w:lang w:eastAsia="ru-RU"/>
        </w:rPr>
        <w:t>приложении</w:t>
      </w:r>
      <w:r>
        <w:rPr>
          <w:rStyle w:val="5"/>
          <w:rFonts w:ascii="Times New Roman" w:hAnsi="Times New Roman" w:cs="Times New Roman"/>
          <w:sz w:val="24"/>
          <w:szCs w:val="24"/>
          <w:lang w:eastAsia="ru-RU"/>
        </w:rPr>
        <w:fldChar w:fldCharType="end"/>
      </w:r>
      <w:r>
        <w:rPr>
          <w:rFonts w:ascii="Times New Roman" w:hAnsi="Times New Roman" w:cs="Times New Roman"/>
          <w:sz w:val="24"/>
          <w:szCs w:val="24"/>
          <w:lang w:eastAsia="ru-RU"/>
        </w:rPr>
        <w:t xml:space="preserve"> к настоящему Порядку.</w:t>
      </w:r>
    </w:p>
    <w:p w14:paraId="2C15BA10">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8. Реестры ведутся на бумажных и  электронных носителях.</w:t>
      </w:r>
    </w:p>
    <w:p w14:paraId="7378A51F">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Способ ведения реестра определяется уполномоченным органом самостоятельно.</w:t>
      </w:r>
    </w:p>
    <w:p w14:paraId="07852E7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9. Ведение реестра осуществляется путем внесения в соответствующие подразделы реестра сведений об объектах учета, собственником (владельцем) которых является муниципальное образование, и о лицах, обладающих правами на объекты учета и сведениями о них, и уточнения изменившихся сведений о муниципальном имуществе, принадлежащем на вещном праве органу местного самоуправления, муниципальному бюджетному учреждению, муниципальному казенному учреждению, муниципальному автономному учреждению, муниципальному унитарному предприятию, муниципальному казенному предприятию или иному юридическому либо физическому лицу, которому муниципальное имущество принадлежит на вещном праве или в силу закона (далее - правообладатель), или составляющем муниципальную казну муниципального образования,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(или) деятельности правообладателя.</w:t>
      </w:r>
    </w:p>
    <w:p w14:paraId="03F67204">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10. Неотъемлемой частью реестра являются:</w:t>
      </w:r>
    </w:p>
    <w:p w14:paraId="4D83657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а) документы, подтверждающие сведения, включаемые в реестр (далее - подтверждающие документы);</w:t>
      </w:r>
    </w:p>
    <w:p w14:paraId="3706CC92">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б) иные документы, предусмотренные правовыми актами органов местного самоуправления.</w:t>
      </w:r>
    </w:p>
    <w:p w14:paraId="44CE67FC">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11. Реестр должен храниться и обрабатываться в местах, недоступных для посторонних лиц, с соблюдением условий, обеспечивающих предотвращение хищения, утраты, искажения и подделки информации.</w:t>
      </w:r>
    </w:p>
    <w:p w14:paraId="007A276D">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На электронном носителе, реестр хранится и обрабатывается с соблюдением требований информационной безопасности, обеспечивающих конфиденциальность, целостность, доступность, подотчетность, аутентичность и достоверность информации.</w:t>
      </w:r>
    </w:p>
    <w:p w14:paraId="1E61D00D">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содержащиеся в реестре, хранятся в соответствии с Федеральным законом от 22 октября 2004 г. № 125-ФЗ «Об архивном деле в Российской Федерации».</w:t>
      </w:r>
    </w:p>
    <w:p w14:paraId="4AA9D724">
      <w:pPr>
        <w:pStyle w:val="10"/>
        <w:ind w:firstLine="720"/>
        <w:jc w:val="center"/>
        <w:rPr>
          <w:rFonts w:ascii="Times New Roman" w:hAnsi="Times New Roman" w:cs="Times New Roman"/>
          <w:b/>
          <w:sz w:val="24"/>
          <w:szCs w:val="24"/>
          <w:lang w:eastAsia="ru-RU"/>
        </w:rPr>
      </w:pPr>
    </w:p>
    <w:p w14:paraId="37046446">
      <w:pPr>
        <w:pStyle w:val="10"/>
        <w:ind w:firstLine="72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II. Состав сведений, подлежащих отражению в реестре</w:t>
      </w:r>
    </w:p>
    <w:p w14:paraId="26C464B0">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12. Реестр состоит из 3 разделов. В раздел 1 вносятся сведения о недвижимом имуществе, в раздел 2 вносятся сведения о движимом и об ином имуществе, в раздел 3 вносятся сведения о лицах, обладающих правами на имущество и сведениями о нем. Разделы состоят из подразделов, в каждый из которых вносятся сведения соответственно о видах недвижимого, движимого и иного имущества и лицах, обладающих правами на объекты учета и сведениями о них. В разделы 1, 2, 3 сведения вносятся с приложением подтверждающих документов.</w:t>
      </w:r>
    </w:p>
    <w:p w14:paraId="38A5413C">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13. В раздел 1 вносятся сведения о недвижимом имуществе.</w:t>
      </w:r>
    </w:p>
    <w:p w14:paraId="5728E492">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 подраздел 1.1. раздела 1 реестра вносятся сведения о земельных участках, в том числе:</w:t>
      </w:r>
    </w:p>
    <w:p w14:paraId="5563A2BC">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наименование земельного участка;</w:t>
      </w:r>
    </w:p>
    <w:p w14:paraId="63527F3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адрес (местоположение) земельного участка (с указанием кода Общероссийского классификатора территорий муниципальных образований (далее - ОКТМО);</w:t>
      </w:r>
    </w:p>
    <w:p w14:paraId="101A17CF">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кадастровый номер земельного участка (с датой присвоения);</w:t>
      </w:r>
    </w:p>
    <w:p w14:paraId="7ABA074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правообладателе,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правообладателе);</w:t>
      </w:r>
    </w:p>
    <w:p w14:paraId="75419E6A">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вид вещного права, на основании которого правообладателю принадлежит земельный участок,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308C3E84">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основных характеристиках земельного участка, в том числе: площадь, категория земель, вид разрешенного использования;</w:t>
      </w:r>
    </w:p>
    <w:p w14:paraId="45D7D1AE">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стоимости земельного участка;</w:t>
      </w:r>
    </w:p>
    <w:p w14:paraId="7249CFCE">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произведенном улучшении земельного участка;</w:t>
      </w:r>
    </w:p>
    <w:p w14:paraId="0D5894A9">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установленных в отношении земельного участка ограничениях (обременениях) с указанием наименования вида ограничений (обременении), основания и даты их возникновения и прекращения;</w:t>
      </w:r>
    </w:p>
    <w:p w14:paraId="5B7FC462">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лице, в пользу которого установлены ограничения (обременения),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лице, в пользу которого установлены ограничения (обременения);</w:t>
      </w:r>
    </w:p>
    <w:p w14:paraId="45CEFF0A">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сведения (при необходимости).</w:t>
      </w:r>
    </w:p>
    <w:p w14:paraId="77B4714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 подраздел 1.2. раздела 1 реестра вносятся сведения о зданиях, сооружениях, объектах незавершенного строительства, единых недвижимых комплексах и иных объектах, отнесенных законом к недвижимости, в том числе:</w:t>
      </w:r>
    </w:p>
    <w:p w14:paraId="37EB227F">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вид объекта учета;</w:t>
      </w:r>
    </w:p>
    <w:p w14:paraId="4BF4A8FE">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наименование объекта учета;</w:t>
      </w:r>
    </w:p>
    <w:p w14:paraId="07862ED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назначение объекта учета;</w:t>
      </w:r>
    </w:p>
    <w:p w14:paraId="7CE5B9E4">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адрес (местоположение) объекта учета (с указанием кода ОКТМО);</w:t>
      </w:r>
    </w:p>
    <w:p w14:paraId="73C35869">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кадастровый номер объекта учета (с датой присвоения);</w:t>
      </w:r>
    </w:p>
    <w:p w14:paraId="47A3E066">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земельном участке, на котором расположен объект учета (кадастровый номер, форма собственности, площадь);</w:t>
      </w:r>
    </w:p>
    <w:p w14:paraId="774C43B3">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правообладателе;</w:t>
      </w:r>
    </w:p>
    <w:p w14:paraId="4080A91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3264DD54">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p w14:paraId="2239FED6">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инвентарный номер объекта учета;</w:t>
      </w:r>
    </w:p>
    <w:p w14:paraId="129D7BB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стоимости объекта учета;</w:t>
      </w:r>
    </w:p>
    <w:p w14:paraId="6FEE5800">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изменениях объекта учета (произведенных достройках, капитальном ремонте, реконструкции, модернизации, сносе);</w:t>
      </w:r>
    </w:p>
    <w:p w14:paraId="442564C4">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p w14:paraId="63AC794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лице, в пользу которого установлены ограничения (обременения);</w:t>
      </w:r>
    </w:p>
    <w:p w14:paraId="3AA640FD">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p w14:paraId="7D4CA425">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сведения (при необходимости).</w:t>
      </w:r>
    </w:p>
    <w:p w14:paraId="22E6266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 подраздел 1.3. раздела 1 реестра вносятся сведения о помещениях, машино-местах и иных объектах, отнесенных законом к недвижимости, в том числе:</w:t>
      </w:r>
    </w:p>
    <w:p w14:paraId="4552DD7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вид объекта учета;</w:t>
      </w:r>
    </w:p>
    <w:p w14:paraId="5727F673">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наименование объекта учета;</w:t>
      </w:r>
    </w:p>
    <w:p w14:paraId="3035D190">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назначение объекта учета;</w:t>
      </w:r>
    </w:p>
    <w:p w14:paraId="5B5577A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адрес (местоположение) объекта учета (с указанием кода ОКТМО);</w:t>
      </w:r>
    </w:p>
    <w:p w14:paraId="46D1071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кадастровый номер объекта учета (с датой присвоения);</w:t>
      </w:r>
    </w:p>
    <w:p w14:paraId="42AE9021">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здании, сооружении, в состав которого входит объект учета (кадастровый номер, форма собственности);</w:t>
      </w:r>
    </w:p>
    <w:p w14:paraId="0C946A5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правообладателе;</w:t>
      </w:r>
    </w:p>
    <w:p w14:paraId="17BC9C14">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1433BEE0">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основных характеристиках объекта, в том числе: тип объекта (жилое либо нежилое), площадь, этажность (подземная этажность);</w:t>
      </w:r>
    </w:p>
    <w:p w14:paraId="21A73E7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инвентарный номер объекта учета;</w:t>
      </w:r>
    </w:p>
    <w:p w14:paraId="37630720">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стоимости объекта учета;</w:t>
      </w:r>
    </w:p>
    <w:p w14:paraId="35FDC8FE">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изменениях объекта учета (произведенных достройках, капитальном ремонте, реконструкции, модернизации, сносе);</w:t>
      </w:r>
    </w:p>
    <w:p w14:paraId="6346D95C">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p w14:paraId="5DB535D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лице, в пользу которого установлены ограничения (обременения);</w:t>
      </w:r>
    </w:p>
    <w:p w14:paraId="020C4FAE">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сведения (при необходимости).</w:t>
      </w:r>
    </w:p>
    <w:p w14:paraId="7D691561">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 подраздел 1.4 раздела 1 реестра вносятся сведения о воздушных и морских судах, судах внутреннего плавания, в том числе:</w:t>
      </w:r>
    </w:p>
    <w:p w14:paraId="5312380C">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вид объекта учета;</w:t>
      </w:r>
    </w:p>
    <w:p w14:paraId="17BE2FE6">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наименование объекта учета;</w:t>
      </w:r>
    </w:p>
    <w:p w14:paraId="4B02019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назначение объекта учета;</w:t>
      </w:r>
    </w:p>
    <w:p w14:paraId="7C629019">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порт (место) регистрации и (или) место (аэродром) базирования (с указанием кода ОКТМО);</w:t>
      </w:r>
    </w:p>
    <w:p w14:paraId="46AF4CA1">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регистрационный номер (с датой присвоения);</w:t>
      </w:r>
    </w:p>
    <w:p w14:paraId="7448F381">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правообладателе;</w:t>
      </w:r>
    </w:p>
    <w:p w14:paraId="518F17B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10605511">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основных характеристиках судна, в том числе: год и место постройки судна, инвентарный номер, серийный (заводской) номер, идентификационный номер судна и место строительства (для строящихся судов);</w:t>
      </w:r>
    </w:p>
    <w:p w14:paraId="7BD127E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стоимости судна;</w:t>
      </w:r>
    </w:p>
    <w:p w14:paraId="4FD11949">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произведенных ремонте, модернизации судна;</w:t>
      </w:r>
    </w:p>
    <w:p w14:paraId="2BE59093">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установленных в отношении судна ограничениях (обременениях) с указанием наименования вида ограничений (обременении), основания и даты их возникновения и прекращения;</w:t>
      </w:r>
    </w:p>
    <w:p w14:paraId="5717DC06">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лице, в пользу которого установлены ограничения (обременения);</w:t>
      </w:r>
    </w:p>
    <w:p w14:paraId="3F2F062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сведения (при необходимости).</w:t>
      </w:r>
    </w:p>
    <w:p w14:paraId="044647A4">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 раздел 2 вносятся сведения о движимом и ином имуществе.</w:t>
      </w:r>
    </w:p>
    <w:p w14:paraId="0BECE34F">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 подраздел 2.1. раздела 2 реестра вносятся сведения об акциях, в том числе:</w:t>
      </w:r>
    </w:p>
    <w:p w14:paraId="2DEDBCD0">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акционерном обществе (эмитенте),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14:paraId="4E3D37E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акциях, в том числе: количество акций, регистрационные номера выпусков, номинальная стоимость акций, вид акций (обыкновенные или привилегированные);</w:t>
      </w:r>
    </w:p>
    <w:p w14:paraId="4EEF8B6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правообладателе;</w:t>
      </w:r>
    </w:p>
    <w:p w14:paraId="0651CC2F">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22BE8EDE">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14:paraId="6301E703">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лице, в пользу которого установлены ограничения (обременения);</w:t>
      </w:r>
    </w:p>
    <w:p w14:paraId="18E4D39A">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сведения (при необходимости).</w:t>
      </w:r>
    </w:p>
    <w:p w14:paraId="0F3EE43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 подраздел 2.2. раздела 2 вносятся сведения о долях (вкладах) в уставных (складочных) капиталах хозяйственных обществ и товариществ, в том числе:</w:t>
      </w:r>
    </w:p>
    <w:p w14:paraId="5B6B8A70">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хозяйственном обществе (товариществе),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14:paraId="563057EF">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доля (вклад) в уставном (складочном) капитале хозяйственного общества, товарищества в процентах;</w:t>
      </w:r>
    </w:p>
    <w:p w14:paraId="6DDD930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правообладателе;</w:t>
      </w:r>
    </w:p>
    <w:p w14:paraId="28452DC2">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51660F3E">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14:paraId="041E3CFD">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лице, в пользу которого установлены ограничения (обременения);</w:t>
      </w:r>
    </w:p>
    <w:p w14:paraId="5D80FC73">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сведения (при необходимости).</w:t>
      </w:r>
    </w:p>
    <w:p w14:paraId="6469A98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 подраздел 2.3. раздела 2 вносятся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 в том числе:</w:t>
      </w:r>
    </w:p>
    <w:p w14:paraId="7C3F9979">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наименование движимого имущества (иного имущества);</w:t>
      </w:r>
    </w:p>
    <w:p w14:paraId="53EF938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объекте учета, в том числе: марка, модель, год выпуска, инвентарный номер;</w:t>
      </w:r>
    </w:p>
    <w:p w14:paraId="5252E4E6">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правообладателе;</w:t>
      </w:r>
    </w:p>
    <w:p w14:paraId="70353B39">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стоимости;</w:t>
      </w:r>
    </w:p>
    <w:p w14:paraId="61CC969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0FDAA85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14:paraId="2368C83F">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лице, в пользу которого установлены ограничения (обременения);</w:t>
      </w:r>
    </w:p>
    <w:p w14:paraId="51CE348A">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сведения (при необходимости).</w:t>
      </w:r>
    </w:p>
    <w:p w14:paraId="7FFFE7D4">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 подраздел 2.4. раздела 2 вносятся сведения о долях в праве общей долевой собственности на объекты недвижимого и (или) движимого имущества, в том числе:</w:t>
      </w:r>
    </w:p>
    <w:p w14:paraId="0B25B2C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размер доли в праве общей долевой собственности на объекты недвижимого и (или) движимого имущества;</w:t>
      </w:r>
    </w:p>
    <w:p w14:paraId="6735EBDA">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стоимости доли;</w:t>
      </w:r>
    </w:p>
    <w:p w14:paraId="484E82A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участниках общей долевой собственности, 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w:t>
      </w:r>
    </w:p>
    <w:p w14:paraId="20D8634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правообладателе;</w:t>
      </w:r>
    </w:p>
    <w:p w14:paraId="7F1254C5">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151C1261">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объектах недвижимого и (или) движимого имущества, находящихся в общей долевой собственности, в том числе наименование такого имущества и его кадастровый номер (при наличии);</w:t>
      </w:r>
    </w:p>
    <w:p w14:paraId="7D8646C1">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об установленных в отношении доли ограничениях (обременениях) с указанием наименования вида ограничений (обременении), основания и даты их возникновения и прекращения;</w:t>
      </w:r>
    </w:p>
    <w:p w14:paraId="5D74148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лице, в пользу которого установлены ограничения (обременения);</w:t>
      </w:r>
    </w:p>
    <w:p w14:paraId="1A77C67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сведения (при необходимости).</w:t>
      </w:r>
    </w:p>
    <w:p w14:paraId="630624DC">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 раздел 3 вносятся сведения о лицах, обладающих правами на муниципальное имущество и сведениями о нем, в том числе:</w:t>
      </w:r>
    </w:p>
    <w:p w14:paraId="3301EE1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правообладателях;</w:t>
      </w:r>
    </w:p>
    <w:p w14:paraId="0C9D41D0">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реестровый номер объектов учета, принадлежащих на соответствующем вещном праве;</w:t>
      </w:r>
    </w:p>
    <w:p w14:paraId="3FF34265">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реестровый номер объектов учета, вещные права на которые ограничены (обременены) в пользу правообладателя;</w:t>
      </w:r>
    </w:p>
    <w:p w14:paraId="4593007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иные сведения (при необходимости).</w:t>
      </w:r>
    </w:p>
    <w:p w14:paraId="1D065D8B">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14. Сведения об объекте учета, в том числе о лицах, обладающих правами на муниципальное имущество или сведениями о нем, не вносятся в разделы в случае их отсутствия, за исключением сведений о стоимости имущества, которые имеются у правообладателя.</w:t>
      </w:r>
    </w:p>
    <w:p w14:paraId="5C0A5F2A">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Ведение учета объекта учета без указания стоимостной оценки не допускается.</w:t>
      </w:r>
    </w:p>
    <w:p w14:paraId="5D415064">
      <w:pPr>
        <w:pStyle w:val="10"/>
        <w:ind w:firstLine="720"/>
        <w:jc w:val="both"/>
        <w:rPr>
          <w:rFonts w:ascii="Times New Roman" w:hAnsi="Times New Roman" w:cs="Times New Roman"/>
          <w:sz w:val="24"/>
          <w:szCs w:val="24"/>
          <w:lang w:eastAsia="ru-RU"/>
        </w:rPr>
      </w:pPr>
    </w:p>
    <w:p w14:paraId="0623D8CE">
      <w:pPr>
        <w:pStyle w:val="10"/>
        <w:ind w:firstLine="72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III. Порядок учета муниципального имущества</w:t>
      </w:r>
    </w:p>
    <w:p w14:paraId="2D532BB3">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15. Правообладатель для внесения в реестр сведений об имуществе, приобретенном им по договорам или на иных основаниях, поступающем в его хозяйственное ведение или оперативное управление в порядке, установленном законодательством Российской Федерации, обязан в 7-дневный срок со дня возникновения соответствующего права на объект учета направить в уполномоченный орган заявление о внесении в реестр сведений о таком имуществе с одновременным направлением подтверждающих документов.</w:t>
      </w:r>
    </w:p>
    <w:p w14:paraId="147D667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16. В отношении муниципального имущества, принадлежащего правообладателю на праве хозяйственного ведения, оперативного управления, постоянного (бессрочного) пользования, пожизненного наследуемого владения или в силу закона и не учтенного в реестре, правообладатель обязан в 7-дневный срок со дня выявления такого имущества или получения документа, подтверждающего рассекречивание сведений о нем, направить заявление о внесении в реестр сведений о таком имуществе с одновременным направлением подтверждающих документов.</w:t>
      </w:r>
    </w:p>
    <w:p w14:paraId="72B315BF">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17. При изменении сведений об объекте учета или о лицах, обладающих правами на объект учета либо сведениями о нем, правообладатель для внесения в реестр новых сведений об объекте учета либо о соответствующем лице обязан в 7-дневный срок со дня получения документов, подтверждающих изменение сведений, или окончания срока представления бухгалтерской (финансовой) отчетности, установленного в соответствии с законодательством Российской Федерации (при изменении стоимости объекта учета), направить в уполномоченный орган заявление об изменении сведений об объекте учета с одновременным направлением документов, подтверждающих новые сведения об объекте учета или о соответствующем лице.</w:t>
      </w:r>
    </w:p>
    <w:p w14:paraId="4EA607C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Если изменения касаются сведений о нескольких объектах учета, то правообладатель направляет заявление и документы, указанные в </w:t>
      </w:r>
      <w:r>
        <w:fldChar w:fldCharType="begin"/>
      </w:r>
      <w:r>
        <w:instrText xml:space="preserve"> HYPERLINK "https://www.garant.ru/products/ipo/prime/doc/408023687/?ysclid=lu2fpuegk5115412271" \l "1017" </w:instrText>
      </w:r>
      <w:r>
        <w:fldChar w:fldCharType="separate"/>
      </w:r>
      <w:r>
        <w:rPr>
          <w:rStyle w:val="5"/>
          <w:rFonts w:ascii="Times New Roman" w:hAnsi="Times New Roman" w:cs="Times New Roman"/>
          <w:sz w:val="24"/>
          <w:szCs w:val="24"/>
          <w:lang w:eastAsia="ru-RU"/>
        </w:rPr>
        <w:t>абзаце первом</w:t>
      </w:r>
      <w:r>
        <w:rPr>
          <w:rStyle w:val="5"/>
          <w:rFonts w:ascii="Times New Roman" w:hAnsi="Times New Roman" w:cs="Times New Roman"/>
          <w:sz w:val="24"/>
          <w:szCs w:val="24"/>
          <w:lang w:eastAsia="ru-RU"/>
        </w:rPr>
        <w:fldChar w:fldCharType="end"/>
      </w:r>
      <w:r>
        <w:rPr>
          <w:rFonts w:ascii="Times New Roman" w:hAnsi="Times New Roman" w:cs="Times New Roman"/>
          <w:sz w:val="24"/>
          <w:szCs w:val="24"/>
          <w:lang w:eastAsia="ru-RU"/>
        </w:rPr>
        <w:t xml:space="preserve"> настоящего пункта, в отношении каждого объекта учета.</w:t>
      </w:r>
    </w:p>
    <w:p w14:paraId="1513B9C3">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18. В случае, если право муниципальной собственности на имущество прекращено, лицо, которому оно принадлежало на вещном праве, для исключения из реестра сведений об имуществе обязано в 7-дневный срок со дня получения сведений о прекращении указанного права направить в уполномоченный орган заявление об исключении из реестра сведений о таком имуществе с одновременным направлением документов, подтверждающих прекращение права муниципальной собственности на имущество или государственную регистрацию прекращения указанного права.</w:t>
      </w:r>
    </w:p>
    <w:p w14:paraId="5BF51263">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Если прекращение права муниципальной собственности на имущество влечет исключение сведений в отношении других объектов учета, то лицо, которому оно принадлежало на вещном праве, направляет заявление и документы, указанные в </w:t>
      </w:r>
      <w:r>
        <w:fldChar w:fldCharType="begin"/>
      </w:r>
      <w:r>
        <w:instrText xml:space="preserve"> HYPERLINK "https://www.garant.ru/products/ipo/prime/doc/408023687/?ysclid=lu2fpuegk5115412271" \l "1018" </w:instrText>
      </w:r>
      <w:r>
        <w:fldChar w:fldCharType="separate"/>
      </w:r>
      <w:r>
        <w:rPr>
          <w:rStyle w:val="5"/>
          <w:rFonts w:ascii="Times New Roman" w:hAnsi="Times New Roman" w:cs="Times New Roman"/>
          <w:sz w:val="24"/>
          <w:szCs w:val="24"/>
          <w:lang w:eastAsia="ru-RU"/>
        </w:rPr>
        <w:t>абзаце первом</w:t>
      </w:r>
      <w:r>
        <w:rPr>
          <w:rStyle w:val="5"/>
          <w:rFonts w:ascii="Times New Roman" w:hAnsi="Times New Roman" w:cs="Times New Roman"/>
          <w:sz w:val="24"/>
          <w:szCs w:val="24"/>
          <w:lang w:eastAsia="ru-RU"/>
        </w:rPr>
        <w:fldChar w:fldCharType="end"/>
      </w:r>
      <w:r>
        <w:rPr>
          <w:rFonts w:ascii="Times New Roman" w:hAnsi="Times New Roman" w:cs="Times New Roman"/>
          <w:sz w:val="24"/>
          <w:szCs w:val="24"/>
          <w:lang w:eastAsia="ru-RU"/>
        </w:rPr>
        <w:t xml:space="preserve"> настоящего пункта, в отношении каждого объекта учета.</w:t>
      </w:r>
    </w:p>
    <w:p w14:paraId="2CC8A0C9">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19. В случае засекречивания сведений об учтенном в реестре объекте учета и (или) о лицах, обладающих правами на муниципальное имущество и сведениями о нем, правообладатель обязан не позднее дня, следующего за днем получения документа, подтверждающего их засекречивание, направить в уполномоченный орган обращение об исключении из реестра засекреченных сведений с указанием в нем реестрового номера объекта учета, наименований засекреченных в них сведений и реквизитов документов, подтверждающих засекречивание этих сведений.</w:t>
      </w:r>
    </w:p>
    <w:p w14:paraId="43FDD76D">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Муниципальное образование не позднее дня, следующего за днем получения обращения об исключении из реестра засекреченных сведений, обязан исключить из реестра все засекреченные сведения об учтенном в нем муниципальном имуществе, а также сведения о лицах, обладающих правами на это имущество и (или) сведениями о нем, и документы, подтверждающие эти сведения.</w:t>
      </w:r>
    </w:p>
    <w:p w14:paraId="72A99D43">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20. Сведения об объекте учета, заявления и документы, указанные в </w:t>
      </w:r>
      <w:r>
        <w:fldChar w:fldCharType="begin"/>
      </w:r>
      <w:r>
        <w:instrText xml:space="preserve"> HYPERLINK "https://www.garant.ru/products/ipo/prime/doc/408023687/?ysclid=lu2fpuegk5115412271" \l "1015" </w:instrText>
      </w:r>
      <w:r>
        <w:fldChar w:fldCharType="separate"/>
      </w:r>
      <w:r>
        <w:rPr>
          <w:rStyle w:val="5"/>
          <w:rFonts w:ascii="Times New Roman" w:hAnsi="Times New Roman" w:cs="Times New Roman"/>
          <w:sz w:val="24"/>
          <w:szCs w:val="24"/>
          <w:lang w:eastAsia="ru-RU"/>
        </w:rPr>
        <w:t>пунктах 15 - 18</w:t>
      </w:r>
      <w:r>
        <w:rPr>
          <w:rStyle w:val="5"/>
          <w:rFonts w:ascii="Times New Roman" w:hAnsi="Times New Roman" w:cs="Times New Roman"/>
          <w:sz w:val="24"/>
          <w:szCs w:val="24"/>
          <w:lang w:eastAsia="ru-RU"/>
        </w:rPr>
        <w:fldChar w:fldCharType="end"/>
      </w:r>
      <w:r>
        <w:rPr>
          <w:rFonts w:ascii="Times New Roman" w:hAnsi="Times New Roman" w:cs="Times New Roman"/>
          <w:sz w:val="24"/>
          <w:szCs w:val="24"/>
          <w:lang w:eastAsia="ru-RU"/>
        </w:rPr>
        <w:t xml:space="preserve"> настоящего Порядка, направляются в уполномоченный орган правообладателем или лицом, которому имущество принадлежало на вещном праве, на бумажном носителе или в форме электронного документа, подписанного с использованием усиленной квалифицированной электронной подписи уполномоченным должностным лицом правообладателя.</w:t>
      </w:r>
    </w:p>
    <w:p w14:paraId="604279E2">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21. В случае ликвидации (упразднения) являющегося правообладателем юридического лица формирование и подписание заявления об изменениях сведений и (или) заявления о исключении из реестра, а также исключение всех сведений об объекте учета из реестра осуществляются уполномоченным органом в 7-дневный срок после получения выписки из Единого государственного реестра юридических лиц (далее - ЕГРЮЛ) и ликвидационного баланса. Ликвидационный баланс не требуется, если юридическое лицо было признано судом несостоятельным (банкротом)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w:t>
      </w:r>
    </w:p>
    <w:p w14:paraId="71E63DC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22. Муниципальное образование  в 14-дневный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w:t>
      </w:r>
    </w:p>
    <w:p w14:paraId="226DDCA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а) об учете в реестре объекта учета,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 если установлены подлинность и полнота документов правообладателя, а также достоверность и полнота содержащихся в них сведений;</w:t>
      </w:r>
    </w:p>
    <w:p w14:paraId="417FB93C">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б) об отказе в учете в реестре объекта учета, если установлено, что представленное к учету имущество, в том числе имущество, право муниципальной собственности на которое не зарегистрировано или не подлежит регистрации, не находится в муниципальной собственности;</w:t>
      </w:r>
    </w:p>
    <w:p w14:paraId="13AF3EAA">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 о приостановлении процедуры учета в реестре объекта учета в следующих случаях:</w:t>
      </w:r>
    </w:p>
    <w:p w14:paraId="1BCE7210">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установлены неполнота и (или) недостоверность содержащихся в документах правообладателя сведений;</w:t>
      </w:r>
    </w:p>
    <w:p w14:paraId="2C238ADF">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документы, представленные правообладателем, не соответствуют требованиям, установленным настоящим Порядком, законодательством Российской Федерации и правовыми актами органов местного самоуправления.</w:t>
      </w:r>
    </w:p>
    <w:p w14:paraId="6DCB39FD">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случае принятия муниципальным образованием решения, предусмотренного </w:t>
      </w:r>
      <w:r>
        <w:fldChar w:fldCharType="begin"/>
      </w:r>
      <w:r>
        <w:instrText xml:space="preserve"> HYPERLINK "https://www.garant.ru/products/ipo/prime/doc/408023687/?ysclid=lu2fpuegk5115412271" \l "1223" </w:instrText>
      </w:r>
      <w:r>
        <w:fldChar w:fldCharType="separate"/>
      </w:r>
      <w:r>
        <w:rPr>
          <w:rStyle w:val="5"/>
          <w:rFonts w:ascii="Times New Roman" w:hAnsi="Times New Roman" w:cs="Times New Roman"/>
          <w:sz w:val="24"/>
          <w:szCs w:val="24"/>
          <w:lang w:eastAsia="ru-RU"/>
        </w:rPr>
        <w:t>подпунктом "в"</w:t>
      </w:r>
      <w:r>
        <w:rPr>
          <w:rStyle w:val="5"/>
          <w:rFonts w:ascii="Times New Roman" w:hAnsi="Times New Roman" w:cs="Times New Roman"/>
          <w:sz w:val="24"/>
          <w:szCs w:val="24"/>
          <w:lang w:eastAsia="ru-RU"/>
        </w:rPr>
        <w:fldChar w:fldCharType="end"/>
      </w:r>
      <w:r>
        <w:rPr>
          <w:rFonts w:ascii="Times New Roman" w:hAnsi="Times New Roman" w:cs="Times New Roman"/>
          <w:sz w:val="24"/>
          <w:szCs w:val="24"/>
          <w:lang w:eastAsia="ru-RU"/>
        </w:rPr>
        <w:t xml:space="preserve"> настоящего пункта, уполномоченный орган направляет правообладателю требование в 7-дневный срок со дня его получения направить сведения и документы, подтверждающие недостающие сведения о муниципальном имуществе.</w:t>
      </w:r>
    </w:p>
    <w:p w14:paraId="795B9E5C">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23. В случае выявления имущества, сведения о котором не учтены в реестре и (или) новые сведения о котором не представлены для внесения изменений в реестр, и установлено, что это имущество находится в муниципальной собственности, либо выявлено имущество, не находящееся в муниципальной собственности, которое учтено в реестре, муниципальное образование  в 7-дневный срок:</w:t>
      </w:r>
    </w:p>
    <w:p w14:paraId="3741F5D2">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а) вносит в реестр сведения об объекте учета, в том числе о правообладателях (при наличии);</w:t>
      </w:r>
    </w:p>
    <w:p w14:paraId="52B4A18D">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б) направляет правообладателю (при наличии сведений о нем) требование в 7-дневный срок со дня его получения направить сведения об объекте учета и (или) заявление об изменении сведений либо об их исключении из реестра вмуниципальное образование  (в том числе с дополнительными документами, подтверждающими недостающие в реестре сведения).</w:t>
      </w:r>
    </w:p>
    <w:p w14:paraId="6A0B971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24. Внесение сведений в реестр о возникновении права муниципальной собственности на имущество и о принятии его в муниципальную казну, а также внесение изменений в сведения о таком имуществе и (или) о лицах, обладающих сведениями о нем, в том числе о прекращении права хозяйственного ведения, оперативного управления, постоянного (бессрочного) пользования, пожизненного наследуемого владения или в силу закона на объект учета, принадлежавший правообладателю, осуществляется муниципальным образованием в порядке, установленном </w:t>
      </w:r>
      <w:r>
        <w:fldChar w:fldCharType="begin"/>
      </w:r>
      <w:r>
        <w:instrText xml:space="preserve"> HYPERLINK "https://www.garant.ru/products/ipo/prime/doc/408023687/?ysclid=lu2fpuegk5115412271" \l "1015" </w:instrText>
      </w:r>
      <w:r>
        <w:fldChar w:fldCharType="separate"/>
      </w:r>
      <w:r>
        <w:rPr>
          <w:rStyle w:val="5"/>
          <w:rFonts w:ascii="Times New Roman" w:hAnsi="Times New Roman" w:cs="Times New Roman"/>
          <w:sz w:val="24"/>
          <w:szCs w:val="24"/>
          <w:lang w:eastAsia="ru-RU"/>
        </w:rPr>
        <w:t>пунктами 15 - 23</w:t>
      </w:r>
      <w:r>
        <w:rPr>
          <w:rStyle w:val="5"/>
          <w:rFonts w:ascii="Times New Roman" w:hAnsi="Times New Roman" w:cs="Times New Roman"/>
          <w:sz w:val="24"/>
          <w:szCs w:val="24"/>
          <w:lang w:eastAsia="ru-RU"/>
        </w:rPr>
        <w:fldChar w:fldCharType="end"/>
      </w:r>
      <w:r>
        <w:rPr>
          <w:rFonts w:ascii="Times New Roman" w:hAnsi="Times New Roman" w:cs="Times New Roman"/>
          <w:sz w:val="24"/>
          <w:szCs w:val="24"/>
          <w:lang w:eastAsia="ru-RU"/>
        </w:rPr>
        <w:t xml:space="preserve"> настоящего Порядка.</w:t>
      </w:r>
    </w:p>
    <w:p w14:paraId="03093BB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25. Порядок принятия решений, предусмотренных настоящим Порядком, и сроки рассмотрения документов, если иное не предусмотрено настоящим Порядком, определяются муниципальным образованием  самостоятельно.</w:t>
      </w:r>
    </w:p>
    <w:p w14:paraId="0054CEC9">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26. Заявления, обращение и требования, предусмотренные настоящим Порядком, направляются в порядке и по формам, определяемым уполномоченным органом самостоятельно.</w:t>
      </w:r>
    </w:p>
    <w:p w14:paraId="3B887375">
      <w:pPr>
        <w:pStyle w:val="10"/>
        <w:ind w:firstLine="72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IV. Предоставление информации из реестра</w:t>
      </w:r>
    </w:p>
    <w:p w14:paraId="4E92B721">
      <w:pPr>
        <w:pStyle w:val="10"/>
        <w:ind w:firstLine="720"/>
        <w:jc w:val="both"/>
        <w:rPr>
          <w:rFonts w:ascii="Times New Roman" w:hAnsi="Times New Roman" w:cs="Times New Roman"/>
          <w:sz w:val="24"/>
          <w:szCs w:val="24"/>
          <w:lang w:eastAsia="ru-RU"/>
        </w:rPr>
      </w:pPr>
      <w:bookmarkStart w:id="0" w:name="1"/>
      <w:bookmarkEnd w:id="0"/>
      <w:bookmarkStart w:id="1" w:name="1027"/>
      <w:bookmarkEnd w:id="1"/>
      <w:r>
        <w:rPr>
          <w:rFonts w:ascii="Times New Roman" w:hAnsi="Times New Roman" w:cs="Times New Roman"/>
          <w:sz w:val="24"/>
          <w:szCs w:val="24"/>
          <w:lang w:eastAsia="ru-RU"/>
        </w:rPr>
        <w:t>27. Выписка из реестра,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 в том числе посредством электронной почты, с использованием федеральной государственной информационной системы "Единый портал государственных и муниципальных услуг (функций)"</w:t>
      </w:r>
      <w:r>
        <w:fldChar w:fldCharType="begin"/>
      </w:r>
      <w:r>
        <w:instrText xml:space="preserve"> HYPERLINK "https://www.garant.ru/products/ipo/prime/doc/408023687/?ysclid=lu2fpuegk5115412271" \l "1112" </w:instrText>
      </w:r>
      <w:r>
        <w:fldChar w:fldCharType="separate"/>
      </w:r>
      <w:r>
        <w:rPr>
          <w:rStyle w:val="5"/>
          <w:rFonts w:ascii="Times New Roman" w:hAnsi="Times New Roman" w:cs="Times New Roman"/>
          <w:sz w:val="24"/>
          <w:szCs w:val="24"/>
          <w:vertAlign w:val="superscript"/>
          <w:lang w:eastAsia="ru-RU"/>
        </w:rPr>
        <w:t>2</w:t>
      </w:r>
      <w:r>
        <w:rPr>
          <w:rStyle w:val="5"/>
          <w:rFonts w:ascii="Times New Roman" w:hAnsi="Times New Roman" w:cs="Times New Roman"/>
          <w:sz w:val="24"/>
          <w:szCs w:val="24"/>
          <w:vertAlign w:val="superscript"/>
          <w:lang w:eastAsia="ru-RU"/>
        </w:rPr>
        <w:fldChar w:fldCharType="end"/>
      </w:r>
      <w:r>
        <w:rPr>
          <w:rFonts w:ascii="Times New Roman" w:hAnsi="Times New Roman" w:cs="Times New Roman"/>
          <w:sz w:val="24"/>
          <w:szCs w:val="24"/>
          <w:lang w:eastAsia="ru-RU"/>
        </w:rPr>
        <w:t>, а также региональных порталов государственных и муниципальных услуг, если иное не установлено федеральными законами, указами Президента Российской Федерации и постановлениями Правительства Российской Федерации, законами и иными нормативными актами субъекта Российской Федерации и правовыми актами органов местного самоуправления в течение 10 рабочих дней со дня поступления запроса.</w:t>
      </w:r>
    </w:p>
    <w:p w14:paraId="67D1EE34">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Муниципальное образование вправе предоставлять документы, указанные в настоящем пункте, безвозмездно или за плату, в случае если размер указанной платы определен решением представительного органа соответствующих муниципальных образований, за исключением случаев предоставления информации безвозмездно в порядке, предусмотренном </w:t>
      </w:r>
      <w:r>
        <w:fldChar w:fldCharType="begin"/>
      </w:r>
      <w:r>
        <w:instrText xml:space="preserve"> HYPERLINK "https://www.garant.ru/products/ipo/prime/doc/408023687/?ysclid=lu2fpuegk5115412271" \l "1029" </w:instrText>
      </w:r>
      <w:r>
        <w:fldChar w:fldCharType="separate"/>
      </w:r>
      <w:r>
        <w:rPr>
          <w:rStyle w:val="5"/>
          <w:rFonts w:ascii="Times New Roman" w:hAnsi="Times New Roman" w:cs="Times New Roman"/>
          <w:sz w:val="24"/>
          <w:szCs w:val="24"/>
          <w:lang w:eastAsia="ru-RU"/>
        </w:rPr>
        <w:t>пунктом 29</w:t>
      </w:r>
      <w:r>
        <w:rPr>
          <w:rStyle w:val="5"/>
          <w:rFonts w:ascii="Times New Roman" w:hAnsi="Times New Roman" w:cs="Times New Roman"/>
          <w:sz w:val="24"/>
          <w:szCs w:val="24"/>
          <w:lang w:eastAsia="ru-RU"/>
        </w:rPr>
        <w:fldChar w:fldCharType="end"/>
      </w:r>
      <w:r>
        <w:rPr>
          <w:rFonts w:ascii="Times New Roman" w:hAnsi="Times New Roman" w:cs="Times New Roman"/>
          <w:sz w:val="24"/>
          <w:szCs w:val="24"/>
          <w:lang w:eastAsia="ru-RU"/>
        </w:rPr>
        <w:t xml:space="preserve"> настоящего Порядка.</w:t>
      </w:r>
    </w:p>
    <w:p w14:paraId="6750B4EC">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28. 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определяются уполномоченным органом самостоятельно.</w:t>
      </w:r>
    </w:p>
    <w:p w14:paraId="1434D194">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w:t>
      </w:r>
    </w:p>
    <w:p w14:paraId="72C0FDE8">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29. Муниципальное образование  в соответствии с законодательством Российской Федерации предоставляет безвозмездно информацию о муниципальном имуществе из реестра в виде выписок из реестра,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Российской Федерации, Генеральной прокуратуре Российской Федерации, Председателю Счетной палаты Российской Федерации, его заместителям, аудиторам Счетной палаты Российской Федерации и государственным внебюджетным фондам, правоохранительным органам, судам, судебным приставам-исполнителям по находящимся в производстве уголовным, гражданским и а им муниципального имущества.</w:t>
      </w:r>
    </w:p>
    <w:p w14:paraId="52D314FA">
      <w:pPr>
        <w:pStyle w:val="10"/>
        <w:ind w:firstLine="720"/>
        <w:jc w:val="right"/>
        <w:rPr>
          <w:rFonts w:ascii="Times New Roman" w:hAnsi="Times New Roman" w:cs="Times New Roman"/>
          <w:sz w:val="24"/>
          <w:szCs w:val="24"/>
          <w:lang w:eastAsia="ru-RU"/>
        </w:rPr>
      </w:pPr>
    </w:p>
    <w:p w14:paraId="423CFD0A">
      <w:pPr>
        <w:pStyle w:val="10"/>
        <w:ind w:firstLine="720"/>
        <w:jc w:val="right"/>
        <w:rPr>
          <w:rFonts w:ascii="Times New Roman" w:hAnsi="Times New Roman" w:cs="Times New Roman"/>
          <w:sz w:val="24"/>
          <w:szCs w:val="24"/>
          <w:lang w:eastAsia="ru-RU"/>
        </w:rPr>
      </w:pPr>
    </w:p>
    <w:p w14:paraId="555FB21D">
      <w:pPr>
        <w:pStyle w:val="10"/>
        <w:ind w:firstLine="720"/>
        <w:jc w:val="right"/>
        <w:rPr>
          <w:rFonts w:ascii="Times New Roman" w:hAnsi="Times New Roman" w:cs="Times New Roman"/>
          <w:sz w:val="24"/>
          <w:szCs w:val="24"/>
          <w:lang w:eastAsia="ru-RU"/>
        </w:rPr>
      </w:pPr>
    </w:p>
    <w:p w14:paraId="013437AE">
      <w:pPr>
        <w:pStyle w:val="10"/>
        <w:ind w:firstLine="720"/>
        <w:jc w:val="right"/>
        <w:rPr>
          <w:rFonts w:ascii="Times New Roman" w:hAnsi="Times New Roman" w:cs="Times New Roman"/>
          <w:sz w:val="24"/>
          <w:szCs w:val="24"/>
          <w:lang w:eastAsia="ru-RU"/>
        </w:rPr>
      </w:pPr>
    </w:p>
    <w:p w14:paraId="6514D530">
      <w:pPr>
        <w:pStyle w:val="10"/>
        <w:ind w:firstLine="720"/>
        <w:jc w:val="right"/>
        <w:rPr>
          <w:rFonts w:ascii="Times New Roman" w:hAnsi="Times New Roman" w:cs="Times New Roman"/>
          <w:sz w:val="24"/>
          <w:szCs w:val="24"/>
          <w:lang w:eastAsia="ru-RU"/>
        </w:rPr>
      </w:pPr>
    </w:p>
    <w:p w14:paraId="2D6AA56F">
      <w:pPr>
        <w:pStyle w:val="10"/>
        <w:ind w:firstLine="720"/>
        <w:jc w:val="right"/>
        <w:rPr>
          <w:rFonts w:ascii="Times New Roman" w:hAnsi="Times New Roman" w:cs="Times New Roman"/>
          <w:sz w:val="24"/>
          <w:szCs w:val="24"/>
          <w:lang w:eastAsia="ru-RU"/>
        </w:rPr>
      </w:pPr>
    </w:p>
    <w:p w14:paraId="0EEA5998">
      <w:pPr>
        <w:pStyle w:val="10"/>
        <w:ind w:firstLine="720"/>
        <w:jc w:val="right"/>
        <w:rPr>
          <w:rFonts w:ascii="Times New Roman" w:hAnsi="Times New Roman" w:cs="Times New Roman"/>
          <w:sz w:val="24"/>
          <w:szCs w:val="24"/>
          <w:lang w:eastAsia="ru-RU"/>
        </w:rPr>
      </w:pPr>
    </w:p>
    <w:p w14:paraId="6D361C89">
      <w:pPr>
        <w:pStyle w:val="10"/>
        <w:ind w:firstLine="720"/>
        <w:jc w:val="right"/>
        <w:rPr>
          <w:rFonts w:ascii="Times New Roman" w:hAnsi="Times New Roman" w:cs="Times New Roman"/>
          <w:sz w:val="24"/>
          <w:szCs w:val="24"/>
          <w:lang w:eastAsia="ru-RU"/>
        </w:rPr>
      </w:pPr>
    </w:p>
    <w:p w14:paraId="0E25E357">
      <w:pPr>
        <w:pStyle w:val="10"/>
        <w:ind w:firstLine="720"/>
        <w:jc w:val="right"/>
        <w:rPr>
          <w:rFonts w:ascii="Times New Roman" w:hAnsi="Times New Roman" w:cs="Times New Roman"/>
          <w:sz w:val="24"/>
          <w:szCs w:val="24"/>
          <w:lang w:eastAsia="ru-RU"/>
        </w:rPr>
      </w:pPr>
    </w:p>
    <w:p w14:paraId="3762B4E2">
      <w:pPr>
        <w:pStyle w:val="10"/>
        <w:ind w:firstLine="720"/>
        <w:jc w:val="right"/>
        <w:rPr>
          <w:rFonts w:ascii="Times New Roman" w:hAnsi="Times New Roman" w:cs="Times New Roman"/>
          <w:sz w:val="24"/>
          <w:szCs w:val="24"/>
          <w:lang w:eastAsia="ru-RU"/>
        </w:rPr>
      </w:pPr>
    </w:p>
    <w:p w14:paraId="6DC75EB5">
      <w:pPr>
        <w:pStyle w:val="10"/>
        <w:ind w:firstLine="720"/>
        <w:jc w:val="right"/>
        <w:rPr>
          <w:rFonts w:ascii="Times New Roman" w:hAnsi="Times New Roman" w:cs="Times New Roman"/>
          <w:sz w:val="24"/>
          <w:szCs w:val="24"/>
          <w:lang w:eastAsia="ru-RU"/>
        </w:rPr>
      </w:pPr>
    </w:p>
    <w:p w14:paraId="2C45D545">
      <w:pPr>
        <w:pStyle w:val="10"/>
        <w:ind w:firstLine="720"/>
        <w:jc w:val="right"/>
        <w:rPr>
          <w:rFonts w:ascii="Times New Roman" w:hAnsi="Times New Roman" w:cs="Times New Roman"/>
          <w:sz w:val="24"/>
          <w:szCs w:val="24"/>
          <w:lang w:eastAsia="ru-RU"/>
        </w:rPr>
      </w:pPr>
    </w:p>
    <w:p w14:paraId="5049CD50">
      <w:pPr>
        <w:pStyle w:val="10"/>
        <w:ind w:firstLine="720"/>
        <w:jc w:val="right"/>
        <w:rPr>
          <w:rFonts w:ascii="Times New Roman" w:hAnsi="Times New Roman" w:cs="Times New Roman"/>
          <w:sz w:val="24"/>
          <w:szCs w:val="24"/>
          <w:lang w:eastAsia="ru-RU"/>
        </w:rPr>
      </w:pPr>
    </w:p>
    <w:p w14:paraId="0585CC9F">
      <w:pPr>
        <w:pStyle w:val="10"/>
        <w:ind w:firstLine="720"/>
        <w:jc w:val="right"/>
        <w:rPr>
          <w:rFonts w:ascii="Times New Roman" w:hAnsi="Times New Roman" w:cs="Times New Roman"/>
          <w:sz w:val="24"/>
          <w:szCs w:val="24"/>
          <w:lang w:eastAsia="ru-RU"/>
        </w:rPr>
      </w:pPr>
    </w:p>
    <w:p w14:paraId="47EA864A">
      <w:pPr>
        <w:pStyle w:val="10"/>
        <w:ind w:firstLine="720"/>
        <w:jc w:val="right"/>
        <w:rPr>
          <w:rFonts w:ascii="Times New Roman" w:hAnsi="Times New Roman" w:cs="Times New Roman"/>
          <w:sz w:val="24"/>
          <w:szCs w:val="24"/>
          <w:lang w:eastAsia="ru-RU"/>
        </w:rPr>
      </w:pPr>
    </w:p>
    <w:p w14:paraId="54548F55">
      <w:pPr>
        <w:pStyle w:val="10"/>
        <w:ind w:firstLine="720"/>
        <w:jc w:val="right"/>
        <w:rPr>
          <w:rFonts w:ascii="Times New Roman" w:hAnsi="Times New Roman" w:cs="Times New Roman"/>
          <w:sz w:val="24"/>
          <w:szCs w:val="24"/>
          <w:lang w:eastAsia="ru-RU"/>
        </w:rPr>
      </w:pPr>
    </w:p>
    <w:p w14:paraId="744616A2">
      <w:pPr>
        <w:pStyle w:val="10"/>
        <w:ind w:firstLine="720"/>
        <w:jc w:val="right"/>
        <w:rPr>
          <w:rFonts w:ascii="Times New Roman" w:hAnsi="Times New Roman" w:cs="Times New Roman"/>
          <w:sz w:val="24"/>
          <w:szCs w:val="24"/>
          <w:lang w:eastAsia="ru-RU"/>
        </w:rPr>
      </w:pPr>
    </w:p>
    <w:p w14:paraId="35F3FCEF">
      <w:pPr>
        <w:pStyle w:val="10"/>
        <w:ind w:firstLine="720"/>
        <w:jc w:val="right"/>
        <w:rPr>
          <w:rFonts w:ascii="Times New Roman" w:hAnsi="Times New Roman" w:cs="Times New Roman"/>
          <w:sz w:val="24"/>
          <w:szCs w:val="24"/>
          <w:lang w:eastAsia="ru-RU"/>
        </w:rPr>
      </w:pPr>
    </w:p>
    <w:p w14:paraId="6C79583C">
      <w:pPr>
        <w:pStyle w:val="10"/>
        <w:ind w:firstLine="720"/>
        <w:jc w:val="right"/>
        <w:rPr>
          <w:rFonts w:ascii="Times New Roman" w:hAnsi="Times New Roman" w:cs="Times New Roman"/>
          <w:sz w:val="24"/>
          <w:szCs w:val="24"/>
          <w:lang w:eastAsia="ru-RU"/>
        </w:rPr>
      </w:pPr>
    </w:p>
    <w:p w14:paraId="363FB05C">
      <w:pPr>
        <w:pStyle w:val="10"/>
        <w:ind w:firstLine="720"/>
        <w:jc w:val="right"/>
        <w:rPr>
          <w:rFonts w:ascii="Times New Roman" w:hAnsi="Times New Roman" w:cs="Times New Roman"/>
          <w:sz w:val="24"/>
          <w:szCs w:val="24"/>
          <w:lang w:eastAsia="ru-RU"/>
        </w:rPr>
      </w:pPr>
    </w:p>
    <w:p w14:paraId="5C517811">
      <w:pPr>
        <w:pStyle w:val="10"/>
        <w:ind w:firstLine="720"/>
        <w:jc w:val="right"/>
        <w:rPr>
          <w:rFonts w:ascii="Times New Roman" w:hAnsi="Times New Roman" w:cs="Times New Roman"/>
          <w:sz w:val="24"/>
          <w:szCs w:val="24"/>
          <w:lang w:eastAsia="ru-RU"/>
        </w:rPr>
      </w:pPr>
    </w:p>
    <w:p w14:paraId="4437EA30">
      <w:pPr>
        <w:pStyle w:val="10"/>
        <w:ind w:firstLine="720"/>
        <w:jc w:val="right"/>
        <w:rPr>
          <w:rFonts w:ascii="Times New Roman" w:hAnsi="Times New Roman" w:cs="Times New Roman"/>
          <w:sz w:val="24"/>
          <w:szCs w:val="24"/>
          <w:lang w:eastAsia="ru-RU"/>
        </w:rPr>
      </w:pPr>
    </w:p>
    <w:p w14:paraId="7BDB3B5E">
      <w:pPr>
        <w:pStyle w:val="10"/>
        <w:ind w:firstLine="720"/>
        <w:jc w:val="right"/>
        <w:rPr>
          <w:rFonts w:ascii="Times New Roman" w:hAnsi="Times New Roman" w:cs="Times New Roman"/>
          <w:sz w:val="24"/>
          <w:szCs w:val="24"/>
          <w:lang w:eastAsia="ru-RU"/>
        </w:rPr>
      </w:pPr>
    </w:p>
    <w:p w14:paraId="7854727C">
      <w:pPr>
        <w:pStyle w:val="10"/>
        <w:ind w:firstLine="720"/>
        <w:jc w:val="right"/>
        <w:rPr>
          <w:rFonts w:ascii="Times New Roman" w:hAnsi="Times New Roman" w:cs="Times New Roman"/>
          <w:sz w:val="24"/>
          <w:szCs w:val="24"/>
          <w:lang w:eastAsia="ru-RU"/>
        </w:rPr>
      </w:pPr>
    </w:p>
    <w:p w14:paraId="70A6CB1F">
      <w:pPr>
        <w:pStyle w:val="10"/>
        <w:ind w:firstLine="720"/>
        <w:jc w:val="right"/>
        <w:rPr>
          <w:rFonts w:ascii="Times New Roman" w:hAnsi="Times New Roman" w:cs="Times New Roman"/>
          <w:sz w:val="24"/>
          <w:szCs w:val="24"/>
          <w:lang w:eastAsia="ru-RU"/>
        </w:rPr>
      </w:pPr>
    </w:p>
    <w:p w14:paraId="6CB7F774">
      <w:pPr>
        <w:pStyle w:val="10"/>
        <w:ind w:firstLine="720"/>
        <w:jc w:val="right"/>
        <w:rPr>
          <w:rFonts w:ascii="Times New Roman" w:hAnsi="Times New Roman" w:cs="Times New Roman"/>
          <w:sz w:val="24"/>
          <w:szCs w:val="24"/>
          <w:lang w:eastAsia="ru-RU"/>
        </w:rPr>
      </w:pPr>
    </w:p>
    <w:p w14:paraId="3A4A14B7">
      <w:pPr>
        <w:pStyle w:val="10"/>
        <w:ind w:firstLine="720"/>
        <w:jc w:val="right"/>
        <w:rPr>
          <w:rFonts w:ascii="Times New Roman" w:hAnsi="Times New Roman" w:cs="Times New Roman"/>
          <w:sz w:val="24"/>
          <w:szCs w:val="24"/>
          <w:lang w:eastAsia="ru-RU"/>
        </w:rPr>
      </w:pPr>
    </w:p>
    <w:p w14:paraId="2B469BCF">
      <w:pPr>
        <w:pStyle w:val="10"/>
        <w:ind w:firstLine="720"/>
        <w:jc w:val="right"/>
        <w:rPr>
          <w:rFonts w:ascii="Times New Roman" w:hAnsi="Times New Roman" w:cs="Times New Roman"/>
          <w:sz w:val="24"/>
          <w:szCs w:val="24"/>
          <w:lang w:eastAsia="ru-RU"/>
        </w:rPr>
      </w:pPr>
    </w:p>
    <w:p w14:paraId="3696E91C">
      <w:pPr>
        <w:pStyle w:val="10"/>
        <w:ind w:firstLine="720"/>
        <w:jc w:val="right"/>
        <w:rPr>
          <w:rFonts w:ascii="Times New Roman" w:hAnsi="Times New Roman" w:cs="Times New Roman"/>
          <w:sz w:val="24"/>
          <w:szCs w:val="24"/>
          <w:lang w:eastAsia="ru-RU"/>
        </w:rPr>
      </w:pPr>
    </w:p>
    <w:p w14:paraId="6AB70769">
      <w:pPr>
        <w:pStyle w:val="10"/>
        <w:ind w:firstLine="720"/>
        <w:jc w:val="right"/>
        <w:rPr>
          <w:rFonts w:ascii="Times New Roman" w:hAnsi="Times New Roman" w:cs="Times New Roman"/>
          <w:sz w:val="24"/>
          <w:szCs w:val="24"/>
          <w:lang w:eastAsia="ru-RU"/>
        </w:rPr>
      </w:pPr>
    </w:p>
    <w:p w14:paraId="698DAE96">
      <w:pPr>
        <w:pStyle w:val="10"/>
        <w:ind w:firstLine="720"/>
        <w:jc w:val="right"/>
        <w:rPr>
          <w:rFonts w:ascii="Times New Roman" w:hAnsi="Times New Roman" w:cs="Times New Roman"/>
          <w:sz w:val="24"/>
          <w:szCs w:val="24"/>
          <w:lang w:eastAsia="ru-RU"/>
        </w:rPr>
      </w:pPr>
    </w:p>
    <w:p w14:paraId="447F8DAA">
      <w:pPr>
        <w:pStyle w:val="10"/>
        <w:ind w:firstLine="720"/>
        <w:jc w:val="right"/>
        <w:rPr>
          <w:rFonts w:ascii="Times New Roman" w:hAnsi="Times New Roman" w:cs="Times New Roman"/>
          <w:sz w:val="24"/>
          <w:szCs w:val="24"/>
          <w:lang w:eastAsia="ru-RU"/>
        </w:rPr>
      </w:pPr>
    </w:p>
    <w:p w14:paraId="7CD7BB2D">
      <w:pPr>
        <w:pStyle w:val="10"/>
        <w:ind w:firstLine="720"/>
        <w:jc w:val="right"/>
        <w:rPr>
          <w:rFonts w:ascii="Times New Roman" w:hAnsi="Times New Roman" w:cs="Times New Roman"/>
          <w:sz w:val="24"/>
          <w:szCs w:val="24"/>
          <w:lang w:eastAsia="ru-RU"/>
        </w:rPr>
      </w:pPr>
    </w:p>
    <w:p w14:paraId="51AA7292">
      <w:pPr>
        <w:pStyle w:val="10"/>
        <w:ind w:firstLine="720"/>
        <w:jc w:val="right"/>
        <w:rPr>
          <w:rFonts w:ascii="Times New Roman" w:hAnsi="Times New Roman" w:cs="Times New Roman"/>
          <w:sz w:val="24"/>
          <w:szCs w:val="24"/>
          <w:lang w:eastAsia="ru-RU"/>
        </w:rPr>
      </w:pPr>
    </w:p>
    <w:p w14:paraId="7CD8A1F4">
      <w:pPr>
        <w:pStyle w:val="10"/>
        <w:ind w:firstLine="720"/>
        <w:jc w:val="right"/>
        <w:rPr>
          <w:rFonts w:ascii="Times New Roman" w:hAnsi="Times New Roman" w:cs="Times New Roman"/>
          <w:sz w:val="24"/>
          <w:szCs w:val="24"/>
          <w:lang w:eastAsia="ru-RU"/>
        </w:rPr>
      </w:pPr>
    </w:p>
    <w:p w14:paraId="2DDAF1BD">
      <w:pPr>
        <w:pStyle w:val="10"/>
        <w:ind w:firstLine="720"/>
        <w:jc w:val="right"/>
        <w:rPr>
          <w:rFonts w:ascii="Times New Roman" w:hAnsi="Times New Roman" w:cs="Times New Roman"/>
          <w:sz w:val="24"/>
          <w:szCs w:val="24"/>
          <w:lang w:eastAsia="ru-RU"/>
        </w:rPr>
      </w:pPr>
    </w:p>
    <w:p w14:paraId="49048AAA">
      <w:pPr>
        <w:pStyle w:val="10"/>
        <w:ind w:firstLine="720"/>
        <w:jc w:val="right"/>
        <w:rPr>
          <w:rFonts w:ascii="Times New Roman" w:hAnsi="Times New Roman" w:cs="Times New Roman"/>
          <w:sz w:val="24"/>
          <w:szCs w:val="24"/>
          <w:lang w:eastAsia="ru-RU"/>
        </w:rPr>
      </w:pPr>
    </w:p>
    <w:p w14:paraId="55383BA2">
      <w:pPr>
        <w:pStyle w:val="10"/>
        <w:ind w:firstLine="720"/>
        <w:jc w:val="right"/>
        <w:rPr>
          <w:rFonts w:ascii="Times New Roman" w:hAnsi="Times New Roman" w:cs="Times New Roman"/>
          <w:sz w:val="24"/>
          <w:szCs w:val="24"/>
          <w:lang w:eastAsia="ru-RU"/>
        </w:rPr>
      </w:pPr>
    </w:p>
    <w:p w14:paraId="72806749">
      <w:pPr>
        <w:pStyle w:val="10"/>
        <w:ind w:firstLine="720"/>
        <w:jc w:val="right"/>
        <w:rPr>
          <w:rFonts w:ascii="Times New Roman" w:hAnsi="Times New Roman" w:cs="Times New Roman"/>
          <w:sz w:val="24"/>
          <w:szCs w:val="24"/>
          <w:lang w:eastAsia="ru-RU"/>
        </w:rPr>
      </w:pPr>
    </w:p>
    <w:p w14:paraId="7C3F8AC5">
      <w:pPr>
        <w:pStyle w:val="10"/>
        <w:ind w:firstLine="720"/>
        <w:jc w:val="right"/>
        <w:rPr>
          <w:rFonts w:ascii="Times New Roman" w:hAnsi="Times New Roman" w:cs="Times New Roman"/>
          <w:sz w:val="24"/>
          <w:szCs w:val="24"/>
          <w:lang w:eastAsia="ru-RU"/>
        </w:rPr>
      </w:pPr>
    </w:p>
    <w:p w14:paraId="399FA176">
      <w:pPr>
        <w:pStyle w:val="10"/>
        <w:ind w:firstLine="720"/>
        <w:jc w:val="right"/>
        <w:rPr>
          <w:rFonts w:ascii="Times New Roman" w:hAnsi="Times New Roman" w:cs="Times New Roman"/>
          <w:sz w:val="24"/>
          <w:szCs w:val="24"/>
          <w:lang w:eastAsia="ru-RU"/>
        </w:rPr>
      </w:pPr>
    </w:p>
    <w:p w14:paraId="46953851">
      <w:pPr>
        <w:pStyle w:val="10"/>
        <w:ind w:firstLine="720"/>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к порядку</w:t>
      </w:r>
    </w:p>
    <w:p w14:paraId="1D926F57">
      <w:pPr>
        <w:pStyle w:val="10"/>
        <w:ind w:firstLine="720"/>
        <w:jc w:val="right"/>
        <w:rPr>
          <w:rFonts w:ascii="Times New Roman" w:hAnsi="Times New Roman" w:cs="Times New Roman"/>
          <w:sz w:val="24"/>
          <w:szCs w:val="24"/>
          <w:lang w:eastAsia="ru-RU"/>
        </w:rPr>
      </w:pPr>
    </w:p>
    <w:p w14:paraId="16D87596">
      <w:pPr>
        <w:pStyle w:val="10"/>
        <w:ind w:firstLine="72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ВЫПИСКА №______</w:t>
      </w:r>
    </w:p>
    <w:p w14:paraId="012D8E18">
      <w:pPr>
        <w:pStyle w:val="10"/>
        <w:ind w:firstLine="72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из реестра муниципального имущества об объекте</w:t>
      </w:r>
    </w:p>
    <w:p w14:paraId="531CEBD6">
      <w:pPr>
        <w:pStyle w:val="10"/>
        <w:ind w:firstLine="72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учета муниципального имущества</w:t>
      </w:r>
    </w:p>
    <w:p w14:paraId="2AFC2352">
      <w:pPr>
        <w:pStyle w:val="10"/>
        <w:ind w:firstLine="720"/>
        <w:jc w:val="both"/>
        <w:rPr>
          <w:rFonts w:ascii="Times New Roman" w:hAnsi="Times New Roman" w:cs="Times New Roman"/>
          <w:b/>
          <w:sz w:val="24"/>
          <w:szCs w:val="24"/>
          <w:lang w:eastAsia="ru-RU"/>
        </w:rPr>
      </w:pPr>
    </w:p>
    <w:p w14:paraId="4D7A36CA">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                          на "____"______________20___г.</w:t>
      </w:r>
    </w:p>
    <w:p w14:paraId="5F984005">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Орган   местного    самоуправления, уполномоченный   на  ведение  реестра муниципального имущества________________________________________________________</w:t>
      </w:r>
    </w:p>
    <w:p w14:paraId="59E2D675">
      <w:pPr>
        <w:pStyle w:val="10"/>
        <w:jc w:val="both"/>
        <w:rPr>
          <w:rFonts w:ascii="Times New Roman" w:hAnsi="Times New Roman" w:cs="Times New Roman"/>
          <w:sz w:val="18"/>
          <w:szCs w:val="18"/>
          <w:lang w:eastAsia="ru-RU"/>
        </w:rPr>
      </w:pPr>
      <w:r>
        <w:rPr>
          <w:rFonts w:ascii="Times New Roman" w:hAnsi="Times New Roman" w:cs="Times New Roman"/>
          <w:sz w:val="18"/>
          <w:szCs w:val="18"/>
          <w:lang w:eastAsia="ru-RU"/>
        </w:rPr>
        <w:t>(наименование органа местного самоуправления,уполномоченного на ведение реестра муниципального имущества)</w:t>
      </w:r>
    </w:p>
    <w:p w14:paraId="3E6AD7CC">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Заявитель_________________________________________________________________</w:t>
      </w:r>
    </w:p>
    <w:p w14:paraId="4D353750">
      <w:pPr>
        <w:pStyle w:val="10"/>
        <w:ind w:firstLine="720"/>
        <w:jc w:val="both"/>
        <w:rPr>
          <w:rFonts w:ascii="Times New Roman" w:hAnsi="Times New Roman" w:cs="Times New Roman"/>
          <w:sz w:val="18"/>
          <w:szCs w:val="18"/>
          <w:lang w:eastAsia="ru-RU"/>
        </w:rPr>
      </w:pPr>
      <w:r>
        <w:rPr>
          <w:rFonts w:ascii="Times New Roman" w:hAnsi="Times New Roman" w:cs="Times New Roman"/>
          <w:sz w:val="18"/>
          <w:szCs w:val="18"/>
          <w:lang w:eastAsia="ru-RU"/>
        </w:rPr>
        <w:t>            (наименование юридического лица, фамилия, имя, отчество (при наличии) физического лица)</w:t>
      </w:r>
    </w:p>
    <w:p w14:paraId="34821A93">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                </w:t>
      </w:r>
    </w:p>
    <w:p w14:paraId="01A89047">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 Сведения об объекте муниципального имущества</w:t>
      </w:r>
    </w:p>
    <w:p w14:paraId="196AC32F">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Вид и наименование объекта учета____________________________________________</w:t>
      </w:r>
    </w:p>
    <w:p w14:paraId="7FBA00D8">
      <w:pPr>
        <w:pStyle w:val="10"/>
        <w:ind w:firstLine="720"/>
        <w:jc w:val="both"/>
        <w:rPr>
          <w:rFonts w:ascii="Times New Roman" w:hAnsi="Times New Roman" w:cs="Times New Roman"/>
          <w:sz w:val="24"/>
          <w:szCs w:val="24"/>
          <w:lang w:eastAsia="ru-RU"/>
        </w:rPr>
      </w:pPr>
    </w:p>
    <w:tbl>
      <w:tblPr>
        <w:tblStyle w:val="4"/>
        <w:tblW w:w="11511" w:type="dxa"/>
        <w:tblInd w:w="-93" w:type="dxa"/>
        <w:tblLayout w:type="fixed"/>
        <w:tblCellMar>
          <w:top w:w="15" w:type="dxa"/>
          <w:left w:w="15" w:type="dxa"/>
          <w:bottom w:w="15" w:type="dxa"/>
          <w:right w:w="15" w:type="dxa"/>
        </w:tblCellMar>
      </w:tblPr>
      <w:tblGrid>
        <w:gridCol w:w="2006"/>
        <w:gridCol w:w="88"/>
        <w:gridCol w:w="30"/>
        <w:gridCol w:w="438"/>
        <w:gridCol w:w="209"/>
        <w:gridCol w:w="3305"/>
        <w:gridCol w:w="941"/>
        <w:gridCol w:w="4258"/>
        <w:gridCol w:w="236"/>
      </w:tblGrid>
      <w:tr w14:paraId="6D2BFABC">
        <w:tblPrEx>
          <w:tblCellMar>
            <w:top w:w="15" w:type="dxa"/>
            <w:left w:w="15" w:type="dxa"/>
            <w:bottom w:w="15" w:type="dxa"/>
            <w:right w:w="15" w:type="dxa"/>
          </w:tblCellMar>
        </w:tblPrEx>
        <w:trPr>
          <w:trHeight w:val="525" w:hRule="atLeast"/>
        </w:trPr>
        <w:tc>
          <w:tcPr>
            <w:tcW w:w="2039" w:type="dxa"/>
            <w:tcBorders>
              <w:top w:val="single" w:color="000000" w:sz="4" w:space="0"/>
              <w:left w:val="single" w:color="000000" w:sz="4" w:space="0"/>
              <w:bottom w:val="single" w:color="000000" w:sz="4" w:space="0"/>
              <w:right w:val="single" w:color="000000" w:sz="4" w:space="0"/>
            </w:tcBorders>
          </w:tcPr>
          <w:p w14:paraId="09C82FCD">
            <w:pPr>
              <w:pStyle w:val="10"/>
              <w:widowControl w:val="0"/>
              <w:spacing w:line="276"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Реестровый номер</w:t>
            </w:r>
          </w:p>
        </w:tc>
        <w:tc>
          <w:tcPr>
            <w:tcW w:w="89" w:type="dxa"/>
            <w:tcBorders>
              <w:top w:val="single" w:color="000000" w:sz="4" w:space="0"/>
              <w:left w:val="single" w:color="000000" w:sz="4" w:space="0"/>
              <w:bottom w:val="single" w:color="000000" w:sz="4" w:space="0"/>
            </w:tcBorders>
          </w:tcPr>
          <w:p w14:paraId="1677DC03">
            <w:pPr>
              <w:rPr>
                <w:rFonts w:ascii="Times New Roman" w:hAnsi="Times New Roman" w:cs="Times New Roman"/>
                <w:sz w:val="24"/>
                <w:szCs w:val="24"/>
                <w:lang w:eastAsia="ru-RU"/>
              </w:rPr>
            </w:pPr>
          </w:p>
          <w:p w14:paraId="5B16DC80">
            <w:pPr>
              <w:pStyle w:val="10"/>
              <w:widowControl w:val="0"/>
              <w:spacing w:line="276" w:lineRule="auto"/>
              <w:jc w:val="both"/>
              <w:rPr>
                <w:rFonts w:ascii="Times New Roman" w:hAnsi="Times New Roman" w:cs="Times New Roman"/>
                <w:sz w:val="24"/>
                <w:szCs w:val="24"/>
                <w:lang w:eastAsia="ru-RU"/>
              </w:rPr>
            </w:pPr>
          </w:p>
        </w:tc>
        <w:tc>
          <w:tcPr>
            <w:tcW w:w="475" w:type="dxa"/>
            <w:gridSpan w:val="2"/>
            <w:tcBorders>
              <w:top w:val="single" w:color="000000" w:sz="4" w:space="0"/>
              <w:bottom w:val="single" w:color="000000" w:sz="4" w:space="0"/>
              <w:right w:val="single" w:color="000000" w:sz="4" w:space="0"/>
            </w:tcBorders>
          </w:tcPr>
          <w:p w14:paraId="07795362">
            <w:pPr>
              <w:pStyle w:val="10"/>
              <w:widowControl w:val="0"/>
              <w:spacing w:line="276" w:lineRule="auto"/>
              <w:ind w:firstLine="720"/>
              <w:jc w:val="both"/>
              <w:rPr>
                <w:rFonts w:ascii="Times New Roman" w:hAnsi="Times New Roman" w:cs="Times New Roman"/>
                <w:sz w:val="24"/>
                <w:szCs w:val="24"/>
                <w:lang w:eastAsia="ru-RU"/>
              </w:rPr>
            </w:pPr>
          </w:p>
        </w:tc>
        <w:tc>
          <w:tcPr>
            <w:tcW w:w="212" w:type="dxa"/>
            <w:tcBorders>
              <w:right w:val="single" w:color="000000" w:sz="4" w:space="0"/>
            </w:tcBorders>
          </w:tcPr>
          <w:p w14:paraId="76C47778">
            <w:pPr>
              <w:pStyle w:val="10"/>
              <w:widowControl w:val="0"/>
              <w:spacing w:line="276" w:lineRule="auto"/>
              <w:jc w:val="both"/>
              <w:rPr>
                <w:rFonts w:ascii="Times New Roman" w:hAnsi="Times New Roman" w:cs="Times New Roman"/>
                <w:sz w:val="24"/>
                <w:szCs w:val="24"/>
                <w:lang w:eastAsia="ru-RU"/>
              </w:rPr>
            </w:pPr>
          </w:p>
        </w:tc>
        <w:tc>
          <w:tcPr>
            <w:tcW w:w="3360" w:type="dxa"/>
            <w:tcBorders>
              <w:top w:val="single" w:color="000000" w:sz="4" w:space="0"/>
              <w:left w:val="single" w:color="000000" w:sz="4" w:space="0"/>
              <w:bottom w:val="single" w:color="000000" w:sz="4" w:space="0"/>
              <w:right w:val="single" w:color="000000" w:sz="4" w:space="0"/>
            </w:tcBorders>
          </w:tcPr>
          <w:p w14:paraId="78124C23">
            <w:pPr>
              <w:pStyle w:val="10"/>
              <w:widowControl w:val="0"/>
              <w:spacing w:line="276" w:lineRule="auto"/>
              <w:ind w:left="180"/>
              <w:jc w:val="both"/>
              <w:rPr>
                <w:rFonts w:ascii="Times New Roman" w:hAnsi="Times New Roman" w:cs="Times New Roman"/>
                <w:sz w:val="24"/>
                <w:szCs w:val="24"/>
                <w:lang w:eastAsia="ru-RU"/>
              </w:rPr>
            </w:pPr>
            <w:r>
              <w:rPr>
                <w:rFonts w:ascii="Times New Roman" w:hAnsi="Times New Roman" w:cs="Times New Roman"/>
                <w:sz w:val="24"/>
                <w:szCs w:val="24"/>
                <w:lang w:eastAsia="ru-RU"/>
              </w:rPr>
              <w:t>Дата присвоения</w:t>
            </w:r>
          </w:p>
        </w:tc>
        <w:tc>
          <w:tcPr>
            <w:tcW w:w="956" w:type="dxa"/>
            <w:tcBorders>
              <w:top w:val="single" w:color="000000" w:sz="4" w:space="0"/>
              <w:left w:val="single" w:color="000000" w:sz="4" w:space="0"/>
              <w:bottom w:val="single" w:color="000000" w:sz="4" w:space="0"/>
            </w:tcBorders>
          </w:tcPr>
          <w:p w14:paraId="59B8A339">
            <w:pPr>
              <w:pStyle w:val="10"/>
              <w:widowControl w:val="0"/>
              <w:spacing w:line="276" w:lineRule="auto"/>
              <w:jc w:val="both"/>
              <w:rPr>
                <w:rFonts w:ascii="Times New Roman" w:hAnsi="Times New Roman" w:cs="Times New Roman"/>
                <w:sz w:val="24"/>
                <w:szCs w:val="24"/>
                <w:lang w:eastAsia="ru-RU"/>
              </w:rPr>
            </w:pPr>
          </w:p>
        </w:tc>
        <w:tc>
          <w:tcPr>
            <w:tcW w:w="4379" w:type="dxa"/>
            <w:gridSpan w:val="2"/>
            <w:tcBorders>
              <w:left w:val="single" w:color="000000" w:sz="4" w:space="0"/>
            </w:tcBorders>
          </w:tcPr>
          <w:p w14:paraId="00A237F6">
            <w:pPr>
              <w:pStyle w:val="10"/>
              <w:widowControl w:val="0"/>
              <w:spacing w:line="276" w:lineRule="auto"/>
              <w:ind w:firstLine="720"/>
              <w:jc w:val="both"/>
              <w:rPr>
                <w:rFonts w:ascii="Times New Roman" w:hAnsi="Times New Roman" w:cs="Times New Roman"/>
                <w:sz w:val="24"/>
                <w:szCs w:val="24"/>
                <w:lang w:eastAsia="ru-RU"/>
              </w:rPr>
            </w:pPr>
          </w:p>
        </w:tc>
      </w:tr>
      <w:tr w14:paraId="6A53C2CC">
        <w:tblPrEx>
          <w:tblCellMar>
            <w:top w:w="15" w:type="dxa"/>
            <w:left w:w="15" w:type="dxa"/>
            <w:bottom w:w="15" w:type="dxa"/>
            <w:right w:w="15" w:type="dxa"/>
          </w:tblCellMar>
        </w:tblPrEx>
        <w:trPr>
          <w:trHeight w:val="120" w:hRule="atLeast"/>
        </w:trPr>
        <w:tc>
          <w:tcPr>
            <w:tcW w:w="2158" w:type="dxa"/>
            <w:gridSpan w:val="3"/>
          </w:tcPr>
          <w:p w14:paraId="40475EA5">
            <w:pPr>
              <w:pStyle w:val="10"/>
              <w:widowControl w:val="0"/>
              <w:spacing w:line="276" w:lineRule="auto"/>
              <w:ind w:firstLine="720"/>
              <w:jc w:val="both"/>
              <w:rPr>
                <w:rFonts w:ascii="Times New Roman" w:hAnsi="Times New Roman" w:cs="Times New Roman"/>
                <w:sz w:val="24"/>
                <w:szCs w:val="24"/>
                <w:lang w:eastAsia="ru-RU"/>
              </w:rPr>
            </w:pPr>
          </w:p>
        </w:tc>
        <w:tc>
          <w:tcPr>
            <w:tcW w:w="445" w:type="dxa"/>
          </w:tcPr>
          <w:p w14:paraId="48336327">
            <w:pPr>
              <w:rPr>
                <w:rFonts w:ascii="Times New Roman" w:hAnsi="Times New Roman" w:cs="Times New Roman"/>
                <w:sz w:val="24"/>
                <w:szCs w:val="24"/>
              </w:rPr>
            </w:pPr>
          </w:p>
        </w:tc>
        <w:tc>
          <w:tcPr>
            <w:tcW w:w="8858" w:type="dxa"/>
            <w:gridSpan w:val="4"/>
          </w:tcPr>
          <w:p w14:paraId="39411D40">
            <w:pPr>
              <w:rPr>
                <w:rFonts w:ascii="Times New Roman" w:hAnsi="Times New Roman" w:cs="Times New Roman"/>
                <w:sz w:val="24"/>
                <w:szCs w:val="24"/>
              </w:rPr>
            </w:pPr>
          </w:p>
        </w:tc>
        <w:tc>
          <w:tcPr>
            <w:tcW w:w="49" w:type="dxa"/>
            <w:tcMar>
              <w:top w:w="0" w:type="dxa"/>
              <w:left w:w="108" w:type="dxa"/>
              <w:bottom w:w="0" w:type="dxa"/>
              <w:right w:w="108" w:type="dxa"/>
            </w:tcMar>
          </w:tcPr>
          <w:p w14:paraId="52908DBF">
            <w:pPr>
              <w:rPr>
                <w:rFonts w:ascii="Times New Roman" w:hAnsi="Times New Roman" w:cs="Times New Roman"/>
                <w:sz w:val="24"/>
                <w:szCs w:val="24"/>
              </w:rPr>
            </w:pPr>
          </w:p>
        </w:tc>
      </w:tr>
    </w:tbl>
    <w:p w14:paraId="10A5A180">
      <w:pPr>
        <w:pStyle w:val="10"/>
        <w:ind w:firstLine="720"/>
        <w:jc w:val="both"/>
        <w:rPr>
          <w:rFonts w:ascii="Times New Roman" w:hAnsi="Times New Roman" w:cs="Times New Roman"/>
          <w:vanish/>
          <w:sz w:val="24"/>
          <w:szCs w:val="24"/>
          <w:lang w:eastAsia="ru-RU"/>
        </w:rPr>
      </w:pPr>
    </w:p>
    <w:tbl>
      <w:tblPr>
        <w:tblStyle w:val="4"/>
        <w:tblW w:w="8976" w:type="dxa"/>
        <w:tblInd w:w="-93" w:type="dxa"/>
        <w:tblLayout w:type="fixed"/>
        <w:tblCellMar>
          <w:top w:w="15" w:type="dxa"/>
          <w:left w:w="15" w:type="dxa"/>
          <w:bottom w:w="15" w:type="dxa"/>
          <w:right w:w="15" w:type="dxa"/>
        </w:tblCellMar>
      </w:tblPr>
      <w:tblGrid>
        <w:gridCol w:w="4440"/>
        <w:gridCol w:w="4394"/>
        <w:gridCol w:w="142"/>
      </w:tblGrid>
      <w:tr w14:paraId="7B3963F1">
        <w:tblPrEx>
          <w:tblCellMar>
            <w:top w:w="15" w:type="dxa"/>
            <w:left w:w="15" w:type="dxa"/>
            <w:bottom w:w="15" w:type="dxa"/>
            <w:right w:w="15" w:type="dxa"/>
          </w:tblCellMar>
        </w:tblPrEx>
        <w:trPr>
          <w:trHeight w:val="300" w:hRule="atLeast"/>
        </w:trPr>
        <w:tc>
          <w:tcPr>
            <w:tcW w:w="4440" w:type="dxa"/>
            <w:tcBorders>
              <w:top w:val="single" w:color="000000" w:sz="4" w:space="0"/>
              <w:bottom w:val="single" w:color="000000" w:sz="4" w:space="0"/>
            </w:tcBorders>
          </w:tcPr>
          <w:p w14:paraId="64BF475C">
            <w:pPr>
              <w:pStyle w:val="10"/>
              <w:widowControl w:val="0"/>
              <w:spacing w:line="276"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Наименования сведений</w:t>
            </w:r>
          </w:p>
        </w:tc>
        <w:tc>
          <w:tcPr>
            <w:tcW w:w="4394" w:type="dxa"/>
            <w:tcBorders>
              <w:top w:val="single" w:color="000000" w:sz="4" w:space="0"/>
              <w:left w:val="single" w:color="000000" w:sz="4" w:space="0"/>
              <w:bottom w:val="single" w:color="000000" w:sz="4" w:space="0"/>
              <w:right w:val="single" w:color="000000" w:sz="4" w:space="0"/>
            </w:tcBorders>
          </w:tcPr>
          <w:p w14:paraId="162B28EB">
            <w:pPr>
              <w:pStyle w:val="10"/>
              <w:widowControl w:val="0"/>
              <w:spacing w:line="276"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Значения сведений</w:t>
            </w:r>
          </w:p>
        </w:tc>
        <w:tc>
          <w:tcPr>
            <w:tcW w:w="142" w:type="dxa"/>
            <w:vMerge w:val="restart"/>
            <w:tcBorders>
              <w:left w:val="single" w:color="000000" w:sz="4" w:space="0"/>
            </w:tcBorders>
          </w:tcPr>
          <w:p w14:paraId="3AB087FD">
            <w:pPr>
              <w:pStyle w:val="10"/>
              <w:widowControl w:val="0"/>
              <w:spacing w:line="276" w:lineRule="auto"/>
              <w:jc w:val="both"/>
              <w:rPr>
                <w:rFonts w:ascii="Times New Roman" w:hAnsi="Times New Roman" w:cs="Times New Roman"/>
                <w:sz w:val="24"/>
                <w:szCs w:val="24"/>
                <w:lang w:eastAsia="ru-RU"/>
              </w:rPr>
            </w:pPr>
          </w:p>
        </w:tc>
      </w:tr>
      <w:tr w14:paraId="1DA66CE1">
        <w:tblPrEx>
          <w:tblCellMar>
            <w:top w:w="15" w:type="dxa"/>
            <w:left w:w="15" w:type="dxa"/>
            <w:bottom w:w="15" w:type="dxa"/>
            <w:right w:w="15" w:type="dxa"/>
          </w:tblCellMar>
        </w:tblPrEx>
        <w:trPr>
          <w:trHeight w:val="15" w:hRule="atLeast"/>
        </w:trPr>
        <w:tc>
          <w:tcPr>
            <w:tcW w:w="4440" w:type="dxa"/>
            <w:tcBorders>
              <w:top w:val="single" w:color="000000" w:sz="4" w:space="0"/>
            </w:tcBorders>
          </w:tcPr>
          <w:p w14:paraId="1FFC8FC0">
            <w:pPr>
              <w:pStyle w:val="10"/>
              <w:widowControl w:val="0"/>
              <w:spacing w:line="276" w:lineRule="auto"/>
              <w:jc w:val="both"/>
              <w:rPr>
                <w:rFonts w:ascii="Times New Roman" w:hAnsi="Times New Roman" w:cs="Times New Roman"/>
                <w:sz w:val="24"/>
                <w:szCs w:val="24"/>
                <w:lang w:eastAsia="ru-RU"/>
              </w:rPr>
            </w:pPr>
          </w:p>
        </w:tc>
        <w:tc>
          <w:tcPr>
            <w:tcW w:w="4394" w:type="dxa"/>
            <w:tcBorders>
              <w:top w:val="single" w:color="000000" w:sz="4" w:space="0"/>
              <w:left w:val="single" w:color="000000" w:sz="4" w:space="0"/>
              <w:right w:val="single" w:color="000000" w:sz="4" w:space="0"/>
            </w:tcBorders>
          </w:tcPr>
          <w:p w14:paraId="531B2725">
            <w:pPr>
              <w:rPr>
                <w:rFonts w:ascii="Times New Roman" w:hAnsi="Times New Roman" w:cs="Times New Roman"/>
                <w:sz w:val="24"/>
                <w:szCs w:val="24"/>
              </w:rPr>
            </w:pPr>
          </w:p>
        </w:tc>
        <w:tc>
          <w:tcPr>
            <w:tcW w:w="142" w:type="dxa"/>
            <w:vMerge w:val="continue"/>
            <w:tcBorders>
              <w:left w:val="single" w:color="000000" w:sz="4" w:space="0"/>
            </w:tcBorders>
            <w:tcMar>
              <w:top w:w="0" w:type="dxa"/>
              <w:left w:w="108" w:type="dxa"/>
              <w:bottom w:w="0" w:type="dxa"/>
              <w:right w:w="108" w:type="dxa"/>
            </w:tcMar>
            <w:vAlign w:val="center"/>
          </w:tcPr>
          <w:p w14:paraId="3AC65DB7">
            <w:pPr>
              <w:rPr>
                <w:rFonts w:ascii="Times New Roman" w:hAnsi="Times New Roman" w:cs="Times New Roman"/>
                <w:sz w:val="24"/>
                <w:szCs w:val="24"/>
                <w:lang w:eastAsia="ru-RU"/>
              </w:rPr>
            </w:pPr>
          </w:p>
        </w:tc>
      </w:tr>
      <w:tr w14:paraId="221238BB">
        <w:tblPrEx>
          <w:tblCellMar>
            <w:top w:w="15" w:type="dxa"/>
            <w:left w:w="15" w:type="dxa"/>
            <w:bottom w:w="15" w:type="dxa"/>
            <w:right w:w="15" w:type="dxa"/>
          </w:tblCellMar>
        </w:tblPrEx>
        <w:trPr>
          <w:trHeight w:val="135" w:hRule="atLeast"/>
        </w:trPr>
        <w:tc>
          <w:tcPr>
            <w:tcW w:w="4440" w:type="dxa"/>
            <w:tcBorders>
              <w:bottom w:val="single" w:color="000000" w:sz="4" w:space="0"/>
            </w:tcBorders>
          </w:tcPr>
          <w:p w14:paraId="02B2CFE3">
            <w:pPr>
              <w:pStyle w:val="10"/>
              <w:widowControl w:val="0"/>
              <w:spacing w:line="276" w:lineRule="auto"/>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4394" w:type="dxa"/>
            <w:tcBorders>
              <w:left w:val="single" w:color="000000" w:sz="4" w:space="0"/>
              <w:bottom w:val="single" w:color="000000" w:sz="4" w:space="0"/>
              <w:right w:val="single" w:color="000000" w:sz="4" w:space="0"/>
            </w:tcBorders>
          </w:tcPr>
          <w:p w14:paraId="6B81B050">
            <w:pPr>
              <w:pStyle w:val="10"/>
              <w:widowControl w:val="0"/>
              <w:spacing w:line="276" w:lineRule="auto"/>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42" w:type="dxa"/>
            <w:vMerge w:val="restart"/>
            <w:tcBorders>
              <w:left w:val="single" w:color="000000" w:sz="4" w:space="0"/>
            </w:tcBorders>
          </w:tcPr>
          <w:p w14:paraId="25C692B9">
            <w:pPr>
              <w:pStyle w:val="10"/>
              <w:widowControl w:val="0"/>
              <w:spacing w:line="276" w:lineRule="auto"/>
              <w:jc w:val="both"/>
              <w:rPr>
                <w:rFonts w:ascii="Times New Roman" w:hAnsi="Times New Roman" w:cs="Times New Roman"/>
                <w:sz w:val="24"/>
                <w:szCs w:val="24"/>
                <w:lang w:eastAsia="ru-RU"/>
              </w:rPr>
            </w:pPr>
          </w:p>
        </w:tc>
      </w:tr>
      <w:tr w14:paraId="5CCFC4F6">
        <w:tblPrEx>
          <w:tblCellMar>
            <w:top w:w="15" w:type="dxa"/>
            <w:left w:w="15" w:type="dxa"/>
            <w:bottom w:w="15" w:type="dxa"/>
            <w:right w:w="15" w:type="dxa"/>
          </w:tblCellMar>
        </w:tblPrEx>
        <w:trPr>
          <w:trHeight w:val="180" w:hRule="atLeast"/>
        </w:trPr>
        <w:tc>
          <w:tcPr>
            <w:tcW w:w="4440" w:type="dxa"/>
            <w:tcBorders>
              <w:top w:val="single" w:color="000000" w:sz="4" w:space="0"/>
            </w:tcBorders>
          </w:tcPr>
          <w:p w14:paraId="762D9D1C">
            <w:pPr>
              <w:rPr>
                <w:rFonts w:ascii="Times New Roman" w:hAnsi="Times New Roman" w:cs="Times New Roman"/>
                <w:sz w:val="24"/>
                <w:szCs w:val="24"/>
              </w:rPr>
            </w:pPr>
          </w:p>
        </w:tc>
        <w:tc>
          <w:tcPr>
            <w:tcW w:w="4394" w:type="dxa"/>
            <w:tcBorders>
              <w:top w:val="single" w:color="000000" w:sz="4" w:space="0"/>
              <w:left w:val="single" w:color="000000" w:sz="4" w:space="0"/>
              <w:right w:val="single" w:color="000000" w:sz="4" w:space="0"/>
            </w:tcBorders>
          </w:tcPr>
          <w:p w14:paraId="38C997E5">
            <w:pPr>
              <w:rPr>
                <w:rFonts w:ascii="Times New Roman" w:hAnsi="Times New Roman" w:cs="Times New Roman"/>
                <w:sz w:val="24"/>
                <w:szCs w:val="24"/>
              </w:rPr>
            </w:pPr>
          </w:p>
        </w:tc>
        <w:tc>
          <w:tcPr>
            <w:tcW w:w="142" w:type="dxa"/>
            <w:vMerge w:val="continue"/>
            <w:tcBorders>
              <w:left w:val="single" w:color="000000" w:sz="4" w:space="0"/>
            </w:tcBorders>
            <w:tcMar>
              <w:top w:w="0" w:type="dxa"/>
              <w:left w:w="108" w:type="dxa"/>
              <w:bottom w:w="0" w:type="dxa"/>
              <w:right w:w="108" w:type="dxa"/>
            </w:tcMar>
            <w:vAlign w:val="center"/>
          </w:tcPr>
          <w:p w14:paraId="43B73A2D">
            <w:pPr>
              <w:rPr>
                <w:rFonts w:ascii="Times New Roman" w:hAnsi="Times New Roman" w:cs="Times New Roman"/>
                <w:sz w:val="24"/>
                <w:szCs w:val="24"/>
                <w:lang w:eastAsia="ru-RU"/>
              </w:rPr>
            </w:pPr>
          </w:p>
        </w:tc>
      </w:tr>
      <w:tr w14:paraId="7A7711F8">
        <w:tblPrEx>
          <w:tblCellMar>
            <w:top w:w="15" w:type="dxa"/>
            <w:left w:w="15" w:type="dxa"/>
            <w:bottom w:w="15" w:type="dxa"/>
            <w:right w:w="15" w:type="dxa"/>
          </w:tblCellMar>
        </w:tblPrEx>
        <w:tc>
          <w:tcPr>
            <w:tcW w:w="4440" w:type="dxa"/>
            <w:tcBorders>
              <w:top w:val="single" w:color="000000" w:sz="4" w:space="0"/>
              <w:bottom w:val="single" w:color="000000" w:sz="4" w:space="0"/>
            </w:tcBorders>
          </w:tcPr>
          <w:p w14:paraId="714EBE26">
            <w:pPr>
              <w:pStyle w:val="10"/>
              <w:widowControl w:val="0"/>
              <w:spacing w:line="276" w:lineRule="auto"/>
              <w:ind w:firstLine="720"/>
              <w:jc w:val="both"/>
              <w:rPr>
                <w:rFonts w:ascii="Times New Roman" w:hAnsi="Times New Roman" w:cs="Times New Roman"/>
                <w:sz w:val="24"/>
                <w:szCs w:val="24"/>
                <w:lang w:eastAsia="ru-RU"/>
              </w:rPr>
            </w:pPr>
          </w:p>
        </w:tc>
        <w:tc>
          <w:tcPr>
            <w:tcW w:w="4394" w:type="dxa"/>
            <w:tcBorders>
              <w:top w:val="single" w:color="000000" w:sz="4" w:space="0"/>
              <w:left w:val="single" w:color="000000" w:sz="4" w:space="0"/>
              <w:bottom w:val="single" w:color="000000" w:sz="4" w:space="0"/>
              <w:right w:val="single" w:color="000000" w:sz="4" w:space="0"/>
            </w:tcBorders>
          </w:tcPr>
          <w:p w14:paraId="0940F6FD">
            <w:pPr>
              <w:pStyle w:val="10"/>
              <w:widowControl w:val="0"/>
              <w:spacing w:line="276" w:lineRule="auto"/>
              <w:ind w:firstLine="720"/>
              <w:jc w:val="both"/>
              <w:rPr>
                <w:rFonts w:ascii="Times New Roman" w:hAnsi="Times New Roman" w:cs="Times New Roman"/>
                <w:sz w:val="24"/>
                <w:szCs w:val="24"/>
                <w:lang w:eastAsia="ru-RU"/>
              </w:rPr>
            </w:pPr>
          </w:p>
        </w:tc>
        <w:tc>
          <w:tcPr>
            <w:tcW w:w="142" w:type="dxa"/>
            <w:vMerge w:val="continue"/>
            <w:tcBorders>
              <w:left w:val="single" w:color="000000" w:sz="4" w:space="0"/>
            </w:tcBorders>
            <w:tcMar>
              <w:top w:w="0" w:type="dxa"/>
              <w:left w:w="108" w:type="dxa"/>
              <w:bottom w:w="0" w:type="dxa"/>
              <w:right w:w="108" w:type="dxa"/>
            </w:tcMar>
            <w:vAlign w:val="center"/>
          </w:tcPr>
          <w:p w14:paraId="2607EDB5">
            <w:pPr>
              <w:rPr>
                <w:rFonts w:ascii="Times New Roman" w:hAnsi="Times New Roman" w:cs="Times New Roman"/>
                <w:sz w:val="24"/>
                <w:szCs w:val="24"/>
                <w:lang w:eastAsia="ru-RU"/>
              </w:rPr>
            </w:pPr>
          </w:p>
        </w:tc>
      </w:tr>
      <w:tr w14:paraId="329361CF">
        <w:tblPrEx>
          <w:tblCellMar>
            <w:top w:w="15" w:type="dxa"/>
            <w:left w:w="15" w:type="dxa"/>
            <w:bottom w:w="15" w:type="dxa"/>
            <w:right w:w="15" w:type="dxa"/>
          </w:tblCellMar>
        </w:tblPrEx>
        <w:trPr>
          <w:trHeight w:val="120" w:hRule="atLeast"/>
        </w:trPr>
        <w:tc>
          <w:tcPr>
            <w:tcW w:w="4440" w:type="dxa"/>
            <w:tcBorders>
              <w:bottom w:val="single" w:color="000000" w:sz="4" w:space="0"/>
            </w:tcBorders>
          </w:tcPr>
          <w:p w14:paraId="7308D3DC">
            <w:pPr>
              <w:pStyle w:val="10"/>
              <w:widowControl w:val="0"/>
              <w:spacing w:line="276" w:lineRule="auto"/>
              <w:ind w:firstLine="720"/>
              <w:jc w:val="both"/>
              <w:rPr>
                <w:rFonts w:ascii="Times New Roman" w:hAnsi="Times New Roman" w:cs="Times New Roman"/>
                <w:sz w:val="24"/>
                <w:szCs w:val="24"/>
                <w:lang w:eastAsia="ru-RU"/>
              </w:rPr>
            </w:pPr>
          </w:p>
        </w:tc>
        <w:tc>
          <w:tcPr>
            <w:tcW w:w="4394" w:type="dxa"/>
            <w:tcBorders>
              <w:left w:val="single" w:color="000000" w:sz="4" w:space="0"/>
              <w:bottom w:val="single" w:color="000000" w:sz="4" w:space="0"/>
              <w:right w:val="single" w:color="000000" w:sz="4" w:space="0"/>
            </w:tcBorders>
          </w:tcPr>
          <w:p w14:paraId="4824AAB1">
            <w:pPr>
              <w:pStyle w:val="10"/>
              <w:widowControl w:val="0"/>
              <w:spacing w:line="276" w:lineRule="auto"/>
              <w:ind w:firstLine="720"/>
              <w:jc w:val="both"/>
              <w:rPr>
                <w:rFonts w:ascii="Times New Roman" w:hAnsi="Times New Roman" w:cs="Times New Roman"/>
                <w:sz w:val="24"/>
                <w:szCs w:val="24"/>
                <w:lang w:eastAsia="ru-RU"/>
              </w:rPr>
            </w:pPr>
          </w:p>
        </w:tc>
        <w:tc>
          <w:tcPr>
            <w:tcW w:w="142" w:type="dxa"/>
            <w:tcBorders>
              <w:left w:val="single" w:color="000000" w:sz="4" w:space="0"/>
            </w:tcBorders>
          </w:tcPr>
          <w:p w14:paraId="7E5ACC3B">
            <w:pPr>
              <w:pStyle w:val="10"/>
              <w:widowControl w:val="0"/>
              <w:spacing w:line="276" w:lineRule="auto"/>
              <w:jc w:val="both"/>
              <w:rPr>
                <w:rFonts w:ascii="Times New Roman" w:hAnsi="Times New Roman" w:cs="Times New Roman"/>
                <w:sz w:val="24"/>
                <w:szCs w:val="24"/>
                <w:lang w:eastAsia="ru-RU"/>
              </w:rPr>
            </w:pPr>
          </w:p>
        </w:tc>
      </w:tr>
    </w:tbl>
    <w:p w14:paraId="65F3EF38">
      <w:pPr>
        <w:pStyle w:val="10"/>
        <w:ind w:firstLine="720"/>
        <w:jc w:val="both"/>
        <w:rPr>
          <w:rFonts w:ascii="Times New Roman" w:hAnsi="Times New Roman" w:cs="Times New Roman"/>
          <w:sz w:val="24"/>
          <w:szCs w:val="24"/>
          <w:lang w:eastAsia="ru-RU"/>
        </w:rPr>
      </w:pPr>
    </w:p>
    <w:p w14:paraId="185112E0">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2. Информация  об изменении   сведений   об объекте учета  муниципального имущества</w:t>
      </w:r>
    </w:p>
    <w:tbl>
      <w:tblPr>
        <w:tblStyle w:val="4"/>
        <w:tblW w:w="9117" w:type="dxa"/>
        <w:tblInd w:w="-83" w:type="dxa"/>
        <w:tblLayout w:type="fixed"/>
        <w:tblCellMar>
          <w:top w:w="15" w:type="dxa"/>
          <w:left w:w="15" w:type="dxa"/>
          <w:bottom w:w="15" w:type="dxa"/>
          <w:right w:w="15" w:type="dxa"/>
        </w:tblCellMar>
      </w:tblPr>
      <w:tblGrid>
        <w:gridCol w:w="3447"/>
        <w:gridCol w:w="2809"/>
        <w:gridCol w:w="2861"/>
      </w:tblGrid>
      <w:tr w14:paraId="1DCC5818">
        <w:tblPrEx>
          <w:tblCellMar>
            <w:top w:w="15" w:type="dxa"/>
            <w:left w:w="15" w:type="dxa"/>
            <w:bottom w:w="15" w:type="dxa"/>
            <w:right w:w="15" w:type="dxa"/>
          </w:tblCellMar>
        </w:tblPrEx>
        <w:trPr>
          <w:trHeight w:val="255" w:hRule="exact"/>
        </w:trPr>
        <w:tc>
          <w:tcPr>
            <w:tcW w:w="3447" w:type="dxa"/>
            <w:tcBorders>
              <w:left w:val="single" w:color="000000" w:sz="4" w:space="0"/>
              <w:bottom w:val="single" w:color="000000" w:sz="4" w:space="0"/>
            </w:tcBorders>
          </w:tcPr>
          <w:p w14:paraId="730D49D3">
            <w:pPr>
              <w:rPr>
                <w:rFonts w:ascii="Times New Roman" w:hAnsi="Times New Roman" w:cs="Times New Roman"/>
                <w:sz w:val="24"/>
                <w:szCs w:val="24"/>
                <w:lang w:val="ru-RU"/>
              </w:rPr>
            </w:pPr>
          </w:p>
        </w:tc>
        <w:tc>
          <w:tcPr>
            <w:tcW w:w="2809" w:type="dxa"/>
            <w:tcBorders>
              <w:bottom w:val="single" w:color="000000" w:sz="4" w:space="0"/>
            </w:tcBorders>
          </w:tcPr>
          <w:p w14:paraId="4D4472D4">
            <w:pPr>
              <w:pStyle w:val="10"/>
              <w:widowControl w:val="0"/>
              <w:spacing w:line="276" w:lineRule="auto"/>
              <w:jc w:val="both"/>
              <w:rPr>
                <w:rFonts w:ascii="Times New Roman" w:hAnsi="Times New Roman" w:cs="Times New Roman"/>
                <w:sz w:val="24"/>
                <w:szCs w:val="24"/>
                <w:lang w:eastAsia="ru-RU"/>
              </w:rPr>
            </w:pPr>
          </w:p>
        </w:tc>
        <w:tc>
          <w:tcPr>
            <w:tcW w:w="2861" w:type="dxa"/>
            <w:tcBorders>
              <w:bottom w:val="single" w:color="000000" w:sz="4" w:space="0"/>
            </w:tcBorders>
          </w:tcPr>
          <w:p w14:paraId="1C5C8BFF">
            <w:pPr>
              <w:pStyle w:val="10"/>
              <w:widowControl w:val="0"/>
              <w:spacing w:line="276" w:lineRule="auto"/>
              <w:jc w:val="both"/>
              <w:rPr>
                <w:rFonts w:ascii="Times New Roman" w:hAnsi="Times New Roman" w:cs="Times New Roman"/>
                <w:sz w:val="24"/>
                <w:szCs w:val="24"/>
                <w:lang w:eastAsia="ru-RU"/>
              </w:rPr>
            </w:pPr>
          </w:p>
        </w:tc>
      </w:tr>
      <w:tr w14:paraId="198DB112">
        <w:tblPrEx>
          <w:tblCellMar>
            <w:top w:w="15" w:type="dxa"/>
            <w:left w:w="15" w:type="dxa"/>
            <w:bottom w:w="15" w:type="dxa"/>
            <w:right w:w="15" w:type="dxa"/>
          </w:tblCellMar>
        </w:tblPrEx>
        <w:trPr>
          <w:trHeight w:val="285" w:hRule="atLeast"/>
        </w:trPr>
        <w:tc>
          <w:tcPr>
            <w:tcW w:w="3447" w:type="dxa"/>
            <w:tcBorders>
              <w:top w:val="single" w:color="000000" w:sz="4" w:space="0"/>
              <w:left w:val="single" w:color="000000" w:sz="4" w:space="0"/>
              <w:bottom w:val="single" w:color="000000" w:sz="4" w:space="0"/>
            </w:tcBorders>
          </w:tcPr>
          <w:p w14:paraId="19154573">
            <w:pPr>
              <w:pStyle w:val="10"/>
              <w:widowControl w:val="0"/>
              <w:spacing w:line="276"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Наименование изменения</w:t>
            </w:r>
          </w:p>
        </w:tc>
        <w:tc>
          <w:tcPr>
            <w:tcW w:w="2809" w:type="dxa"/>
            <w:tcBorders>
              <w:top w:val="single" w:color="000000" w:sz="4" w:space="0"/>
              <w:left w:val="single" w:color="000000" w:sz="4" w:space="0"/>
              <w:bottom w:val="single" w:color="000000" w:sz="4" w:space="0"/>
            </w:tcBorders>
          </w:tcPr>
          <w:p w14:paraId="71744AD7">
            <w:pPr>
              <w:pStyle w:val="10"/>
              <w:widowControl w:val="0"/>
              <w:spacing w:line="276"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Значение сведений</w:t>
            </w:r>
          </w:p>
        </w:tc>
        <w:tc>
          <w:tcPr>
            <w:tcW w:w="2861" w:type="dxa"/>
            <w:tcBorders>
              <w:top w:val="single" w:color="000000" w:sz="4" w:space="0"/>
              <w:left w:val="single" w:color="000000" w:sz="4" w:space="0"/>
              <w:bottom w:val="single" w:color="000000" w:sz="4" w:space="0"/>
              <w:right w:val="single" w:color="000000" w:sz="4" w:space="0"/>
            </w:tcBorders>
          </w:tcPr>
          <w:p w14:paraId="6A465D9C">
            <w:pPr>
              <w:pStyle w:val="10"/>
              <w:widowControl w:val="0"/>
              <w:spacing w:line="276"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Дата изменения</w:t>
            </w:r>
          </w:p>
        </w:tc>
      </w:tr>
      <w:tr w14:paraId="5EC1AB7A">
        <w:tblPrEx>
          <w:tblCellMar>
            <w:top w:w="15" w:type="dxa"/>
            <w:left w:w="15" w:type="dxa"/>
            <w:bottom w:w="15" w:type="dxa"/>
            <w:right w:w="15" w:type="dxa"/>
          </w:tblCellMar>
        </w:tblPrEx>
        <w:trPr>
          <w:trHeight w:val="105" w:hRule="exact"/>
        </w:trPr>
        <w:tc>
          <w:tcPr>
            <w:tcW w:w="3447" w:type="dxa"/>
            <w:tcBorders>
              <w:top w:val="single" w:color="000000" w:sz="4" w:space="0"/>
              <w:left w:val="single" w:color="000000" w:sz="4" w:space="0"/>
            </w:tcBorders>
          </w:tcPr>
          <w:p w14:paraId="3695374A">
            <w:pPr>
              <w:pStyle w:val="10"/>
              <w:widowControl w:val="0"/>
              <w:spacing w:line="276" w:lineRule="auto"/>
              <w:jc w:val="both"/>
              <w:rPr>
                <w:rFonts w:ascii="Times New Roman" w:hAnsi="Times New Roman" w:cs="Times New Roman"/>
                <w:sz w:val="24"/>
                <w:szCs w:val="24"/>
                <w:lang w:eastAsia="ru-RU"/>
              </w:rPr>
            </w:pPr>
          </w:p>
        </w:tc>
        <w:tc>
          <w:tcPr>
            <w:tcW w:w="2809" w:type="dxa"/>
            <w:tcBorders>
              <w:top w:val="single" w:color="000000" w:sz="4" w:space="0"/>
              <w:left w:val="single" w:color="000000" w:sz="4" w:space="0"/>
            </w:tcBorders>
          </w:tcPr>
          <w:p w14:paraId="5F2220BB">
            <w:pPr>
              <w:pStyle w:val="10"/>
              <w:widowControl w:val="0"/>
              <w:spacing w:line="276" w:lineRule="auto"/>
              <w:jc w:val="both"/>
              <w:rPr>
                <w:rFonts w:ascii="Times New Roman" w:hAnsi="Times New Roman" w:cs="Times New Roman"/>
                <w:sz w:val="24"/>
                <w:szCs w:val="24"/>
                <w:lang w:eastAsia="ru-RU"/>
              </w:rPr>
            </w:pPr>
          </w:p>
        </w:tc>
        <w:tc>
          <w:tcPr>
            <w:tcW w:w="2861" w:type="dxa"/>
            <w:tcBorders>
              <w:top w:val="single" w:color="000000" w:sz="4" w:space="0"/>
              <w:left w:val="single" w:color="000000" w:sz="4" w:space="0"/>
              <w:right w:val="single" w:color="000000" w:sz="4" w:space="0"/>
            </w:tcBorders>
          </w:tcPr>
          <w:p w14:paraId="0109EE2A">
            <w:pPr>
              <w:pStyle w:val="10"/>
              <w:widowControl w:val="0"/>
              <w:spacing w:line="276" w:lineRule="auto"/>
              <w:jc w:val="both"/>
              <w:rPr>
                <w:rFonts w:ascii="Times New Roman" w:hAnsi="Times New Roman" w:cs="Times New Roman"/>
                <w:sz w:val="24"/>
                <w:szCs w:val="24"/>
                <w:lang w:eastAsia="ru-RU"/>
              </w:rPr>
            </w:pPr>
          </w:p>
        </w:tc>
      </w:tr>
      <w:tr w14:paraId="05924E92">
        <w:tblPrEx>
          <w:tblCellMar>
            <w:top w:w="15" w:type="dxa"/>
            <w:left w:w="15" w:type="dxa"/>
            <w:bottom w:w="15" w:type="dxa"/>
            <w:right w:w="15" w:type="dxa"/>
          </w:tblCellMar>
        </w:tblPrEx>
        <w:tc>
          <w:tcPr>
            <w:tcW w:w="3447" w:type="dxa"/>
            <w:tcBorders>
              <w:left w:val="single" w:color="000000" w:sz="4" w:space="0"/>
              <w:bottom w:val="single" w:color="000000" w:sz="4" w:space="0"/>
            </w:tcBorders>
          </w:tcPr>
          <w:p w14:paraId="767201FE">
            <w:pPr>
              <w:pStyle w:val="10"/>
              <w:widowControl w:val="0"/>
              <w:spacing w:line="276" w:lineRule="auto"/>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809" w:type="dxa"/>
            <w:tcBorders>
              <w:left w:val="single" w:color="000000" w:sz="4" w:space="0"/>
              <w:bottom w:val="single" w:color="000000" w:sz="4" w:space="0"/>
              <w:right w:val="single" w:color="000000" w:sz="4" w:space="0"/>
            </w:tcBorders>
          </w:tcPr>
          <w:p w14:paraId="79D02FBB">
            <w:pPr>
              <w:pStyle w:val="10"/>
              <w:widowControl w:val="0"/>
              <w:spacing w:line="276" w:lineRule="auto"/>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2861" w:type="dxa"/>
            <w:tcBorders>
              <w:left w:val="single" w:color="000000" w:sz="4" w:space="0"/>
              <w:bottom w:val="single" w:color="000000" w:sz="4" w:space="0"/>
              <w:right w:val="single" w:color="000000" w:sz="4" w:space="0"/>
            </w:tcBorders>
          </w:tcPr>
          <w:p w14:paraId="6B46F33B">
            <w:pPr>
              <w:pStyle w:val="10"/>
              <w:widowControl w:val="0"/>
              <w:spacing w:line="276" w:lineRule="auto"/>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r>
      <w:tr w14:paraId="2D29DFDD">
        <w:tblPrEx>
          <w:tblCellMar>
            <w:top w:w="15" w:type="dxa"/>
            <w:left w:w="15" w:type="dxa"/>
            <w:bottom w:w="15" w:type="dxa"/>
            <w:right w:w="15" w:type="dxa"/>
          </w:tblCellMar>
        </w:tblPrEx>
        <w:tc>
          <w:tcPr>
            <w:tcW w:w="3447" w:type="dxa"/>
            <w:tcBorders>
              <w:left w:val="single" w:color="000000" w:sz="4" w:space="0"/>
              <w:bottom w:val="single" w:color="000000" w:sz="4" w:space="0"/>
            </w:tcBorders>
          </w:tcPr>
          <w:p w14:paraId="34C8B95A">
            <w:pPr>
              <w:pStyle w:val="10"/>
              <w:widowControl w:val="0"/>
              <w:spacing w:line="276" w:lineRule="auto"/>
              <w:ind w:firstLine="720"/>
              <w:jc w:val="both"/>
              <w:rPr>
                <w:rFonts w:ascii="Times New Roman" w:hAnsi="Times New Roman" w:cs="Times New Roman"/>
                <w:sz w:val="24"/>
                <w:szCs w:val="24"/>
                <w:lang w:eastAsia="ru-RU"/>
              </w:rPr>
            </w:pPr>
          </w:p>
        </w:tc>
        <w:tc>
          <w:tcPr>
            <w:tcW w:w="2809" w:type="dxa"/>
            <w:tcBorders>
              <w:left w:val="single" w:color="000000" w:sz="4" w:space="0"/>
              <w:bottom w:val="single" w:color="000000" w:sz="4" w:space="0"/>
              <w:right w:val="single" w:color="000000" w:sz="4" w:space="0"/>
            </w:tcBorders>
          </w:tcPr>
          <w:p w14:paraId="15F7E9B0">
            <w:pPr>
              <w:pStyle w:val="10"/>
              <w:widowControl w:val="0"/>
              <w:spacing w:line="276" w:lineRule="auto"/>
              <w:ind w:firstLine="720"/>
              <w:jc w:val="both"/>
              <w:rPr>
                <w:rFonts w:ascii="Times New Roman" w:hAnsi="Times New Roman" w:cs="Times New Roman"/>
                <w:sz w:val="24"/>
                <w:szCs w:val="24"/>
                <w:lang w:eastAsia="ru-RU"/>
              </w:rPr>
            </w:pPr>
          </w:p>
        </w:tc>
        <w:tc>
          <w:tcPr>
            <w:tcW w:w="2861" w:type="dxa"/>
            <w:tcBorders>
              <w:bottom w:val="single" w:color="000000" w:sz="4" w:space="0"/>
              <w:right w:val="single" w:color="000000" w:sz="4" w:space="0"/>
            </w:tcBorders>
          </w:tcPr>
          <w:p w14:paraId="03DE2803">
            <w:pPr>
              <w:pStyle w:val="10"/>
              <w:widowControl w:val="0"/>
              <w:spacing w:line="276" w:lineRule="auto"/>
              <w:ind w:firstLine="720"/>
              <w:jc w:val="both"/>
              <w:rPr>
                <w:rFonts w:ascii="Times New Roman" w:hAnsi="Times New Roman" w:cs="Times New Roman"/>
                <w:sz w:val="24"/>
                <w:szCs w:val="24"/>
                <w:lang w:eastAsia="ru-RU"/>
              </w:rPr>
            </w:pPr>
          </w:p>
        </w:tc>
      </w:tr>
      <w:tr w14:paraId="7AB24F60">
        <w:tblPrEx>
          <w:tblCellMar>
            <w:top w:w="15" w:type="dxa"/>
            <w:left w:w="15" w:type="dxa"/>
            <w:bottom w:w="15" w:type="dxa"/>
            <w:right w:w="15" w:type="dxa"/>
          </w:tblCellMar>
        </w:tblPrEx>
        <w:trPr>
          <w:trHeight w:val="165" w:hRule="exact"/>
        </w:trPr>
        <w:tc>
          <w:tcPr>
            <w:tcW w:w="3447" w:type="dxa"/>
            <w:tcBorders>
              <w:left w:val="single" w:color="000000" w:sz="4" w:space="0"/>
              <w:bottom w:val="single" w:color="000000" w:sz="4" w:space="0"/>
            </w:tcBorders>
          </w:tcPr>
          <w:p w14:paraId="4BF37D7D">
            <w:pPr>
              <w:pStyle w:val="10"/>
              <w:widowControl w:val="0"/>
              <w:spacing w:line="276" w:lineRule="auto"/>
              <w:ind w:firstLine="720"/>
              <w:jc w:val="both"/>
              <w:rPr>
                <w:rFonts w:ascii="Times New Roman" w:hAnsi="Times New Roman" w:cs="Times New Roman"/>
                <w:sz w:val="24"/>
                <w:szCs w:val="24"/>
                <w:lang w:eastAsia="ru-RU"/>
              </w:rPr>
            </w:pPr>
          </w:p>
        </w:tc>
        <w:tc>
          <w:tcPr>
            <w:tcW w:w="2809" w:type="dxa"/>
            <w:tcBorders>
              <w:left w:val="single" w:color="000000" w:sz="4" w:space="0"/>
              <w:bottom w:val="single" w:color="000000" w:sz="4" w:space="0"/>
              <w:right w:val="single" w:color="000000" w:sz="4" w:space="0"/>
            </w:tcBorders>
          </w:tcPr>
          <w:p w14:paraId="16B8B98C">
            <w:pPr>
              <w:pStyle w:val="10"/>
              <w:widowControl w:val="0"/>
              <w:spacing w:line="276" w:lineRule="auto"/>
              <w:ind w:firstLine="720"/>
              <w:jc w:val="both"/>
              <w:rPr>
                <w:rFonts w:ascii="Times New Roman" w:hAnsi="Times New Roman" w:cs="Times New Roman"/>
                <w:sz w:val="24"/>
                <w:szCs w:val="24"/>
                <w:lang w:eastAsia="ru-RU"/>
              </w:rPr>
            </w:pPr>
          </w:p>
        </w:tc>
        <w:tc>
          <w:tcPr>
            <w:tcW w:w="2861" w:type="dxa"/>
            <w:tcBorders>
              <w:bottom w:val="single" w:color="000000" w:sz="4" w:space="0"/>
              <w:right w:val="single" w:color="000000" w:sz="4" w:space="0"/>
            </w:tcBorders>
          </w:tcPr>
          <w:p w14:paraId="12B568A1">
            <w:pPr>
              <w:pStyle w:val="10"/>
              <w:widowControl w:val="0"/>
              <w:spacing w:line="276" w:lineRule="auto"/>
              <w:ind w:firstLine="720"/>
              <w:jc w:val="both"/>
              <w:rPr>
                <w:rFonts w:ascii="Times New Roman" w:hAnsi="Times New Roman" w:cs="Times New Roman"/>
                <w:sz w:val="24"/>
                <w:szCs w:val="24"/>
                <w:lang w:eastAsia="ru-RU"/>
              </w:rPr>
            </w:pPr>
          </w:p>
        </w:tc>
      </w:tr>
      <w:tr w14:paraId="3418284F">
        <w:tblPrEx>
          <w:tblCellMar>
            <w:top w:w="15" w:type="dxa"/>
            <w:left w:w="15" w:type="dxa"/>
            <w:bottom w:w="15" w:type="dxa"/>
            <w:right w:w="15" w:type="dxa"/>
          </w:tblCellMar>
        </w:tblPrEx>
        <w:trPr>
          <w:trHeight w:val="150" w:hRule="exact"/>
        </w:trPr>
        <w:tc>
          <w:tcPr>
            <w:tcW w:w="3447" w:type="dxa"/>
            <w:tcBorders>
              <w:top w:val="single" w:color="000000" w:sz="4" w:space="0"/>
            </w:tcBorders>
          </w:tcPr>
          <w:p w14:paraId="63243153">
            <w:pPr>
              <w:rPr>
                <w:rFonts w:ascii="Times New Roman" w:hAnsi="Times New Roman" w:cs="Times New Roman"/>
                <w:sz w:val="24"/>
                <w:szCs w:val="24"/>
              </w:rPr>
            </w:pPr>
          </w:p>
        </w:tc>
        <w:tc>
          <w:tcPr>
            <w:tcW w:w="2809" w:type="dxa"/>
            <w:tcBorders>
              <w:top w:val="single" w:color="000000" w:sz="4" w:space="0"/>
            </w:tcBorders>
          </w:tcPr>
          <w:p w14:paraId="27AD0905">
            <w:pPr>
              <w:rPr>
                <w:rFonts w:ascii="Times New Roman" w:hAnsi="Times New Roman" w:cs="Times New Roman"/>
                <w:sz w:val="24"/>
                <w:szCs w:val="24"/>
              </w:rPr>
            </w:pPr>
          </w:p>
        </w:tc>
        <w:tc>
          <w:tcPr>
            <w:tcW w:w="2861" w:type="dxa"/>
            <w:tcBorders>
              <w:top w:val="single" w:color="000000" w:sz="4" w:space="0"/>
            </w:tcBorders>
          </w:tcPr>
          <w:p w14:paraId="5C6362ED">
            <w:pPr>
              <w:rPr>
                <w:rFonts w:ascii="Times New Roman" w:hAnsi="Times New Roman" w:cs="Times New Roman"/>
                <w:sz w:val="24"/>
                <w:szCs w:val="24"/>
              </w:rPr>
            </w:pPr>
          </w:p>
        </w:tc>
      </w:tr>
    </w:tbl>
    <w:p w14:paraId="15AD4E92">
      <w:pPr>
        <w:pStyle w:val="10"/>
        <w:ind w:firstLine="720"/>
        <w:jc w:val="center"/>
        <w:rPr>
          <w:rFonts w:ascii="Times New Roman" w:hAnsi="Times New Roman" w:cs="Times New Roman"/>
          <w:sz w:val="24"/>
          <w:szCs w:val="24"/>
          <w:lang w:eastAsia="ru-RU"/>
        </w:rPr>
      </w:pPr>
    </w:p>
    <w:p w14:paraId="14FAFE80">
      <w:pPr>
        <w:pStyle w:val="10"/>
        <w:ind w:firstLine="720"/>
        <w:jc w:val="center"/>
        <w:rPr>
          <w:rFonts w:ascii="Times New Roman" w:hAnsi="Times New Roman" w:cs="Times New Roman"/>
          <w:sz w:val="24"/>
          <w:szCs w:val="24"/>
          <w:lang w:eastAsia="ru-RU"/>
        </w:rPr>
      </w:pPr>
      <w:r>
        <w:rPr>
          <w:rFonts w:ascii="Times New Roman" w:hAnsi="Times New Roman" w:cs="Times New Roman"/>
          <w:sz w:val="24"/>
          <w:szCs w:val="24"/>
          <w:lang w:eastAsia="ru-RU"/>
        </w:rPr>
        <w:t>ОТМЕТКА О ПОДТВЕРЖДЕНИИ СВЕДЕНИЙ,</w:t>
      </w:r>
    </w:p>
    <w:p w14:paraId="0BC99B46">
      <w:pPr>
        <w:pStyle w:val="10"/>
        <w:ind w:firstLine="720"/>
        <w:jc w:val="center"/>
        <w:rPr>
          <w:rFonts w:ascii="Times New Roman" w:hAnsi="Times New Roman" w:cs="Times New Roman"/>
          <w:sz w:val="24"/>
          <w:szCs w:val="24"/>
          <w:lang w:eastAsia="ru-RU"/>
        </w:rPr>
      </w:pPr>
      <w:r>
        <w:rPr>
          <w:rFonts w:ascii="Times New Roman" w:hAnsi="Times New Roman" w:cs="Times New Roman"/>
          <w:sz w:val="24"/>
          <w:szCs w:val="24"/>
          <w:lang w:eastAsia="ru-RU"/>
        </w:rPr>
        <w:t>СОДЕРЖАЩИХСЯ В НАСТОЯЩЕЙ ВЫПИСКЕ</w:t>
      </w:r>
    </w:p>
    <w:p w14:paraId="78B42DE3">
      <w:pPr>
        <w:pStyle w:val="10"/>
        <w:ind w:firstLine="720"/>
        <w:jc w:val="center"/>
        <w:rPr>
          <w:rFonts w:ascii="Times New Roman" w:hAnsi="Times New Roman" w:cs="Times New Roman"/>
          <w:sz w:val="24"/>
          <w:szCs w:val="24"/>
          <w:lang w:eastAsia="ru-RU"/>
        </w:rPr>
      </w:pPr>
    </w:p>
    <w:p w14:paraId="0DFB6336">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Ответственный</w:t>
      </w:r>
    </w:p>
    <w:p w14:paraId="34F110B6">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исполнитель:   _____________  _____________ ____________________</w:t>
      </w:r>
    </w:p>
    <w:p w14:paraId="77135F9D">
      <w:pPr>
        <w:pStyle w:val="10"/>
        <w:ind w:firstLine="720"/>
        <w:jc w:val="both"/>
        <w:rPr>
          <w:rFonts w:ascii="Times New Roman" w:hAnsi="Times New Roman" w:cs="Times New Roman"/>
          <w:sz w:val="20"/>
          <w:szCs w:val="20"/>
          <w:lang w:eastAsia="ru-RU"/>
        </w:rPr>
      </w:pPr>
      <w:r>
        <w:rPr>
          <w:rFonts w:ascii="Times New Roman" w:hAnsi="Times New Roman" w:cs="Times New Roman"/>
          <w:sz w:val="24"/>
          <w:szCs w:val="24"/>
          <w:lang w:eastAsia="ru-RU"/>
        </w:rPr>
        <w:t>                </w:t>
      </w:r>
      <w:r>
        <w:rPr>
          <w:rFonts w:ascii="Times New Roman" w:hAnsi="Times New Roman" w:cs="Times New Roman"/>
          <w:sz w:val="20"/>
          <w:szCs w:val="20"/>
          <w:lang w:eastAsia="ru-RU"/>
        </w:rPr>
        <w:t>(должность)     (подпись)      (расшифровка подписи)</w:t>
      </w:r>
    </w:p>
    <w:p w14:paraId="31B4DCBC">
      <w:pPr>
        <w:pStyle w:val="10"/>
        <w:ind w:firstLine="720"/>
        <w:jc w:val="both"/>
        <w:rPr>
          <w:rFonts w:ascii="Times New Roman" w:hAnsi="Times New Roman" w:cs="Times New Roman"/>
          <w:sz w:val="24"/>
          <w:szCs w:val="24"/>
          <w:lang w:eastAsia="ru-RU"/>
        </w:rPr>
      </w:pPr>
    </w:p>
    <w:p w14:paraId="7CA3A719">
      <w:pPr>
        <w:pStyle w:val="10"/>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"____"______________20__ г.</w:t>
      </w:r>
    </w:p>
    <w:p w14:paraId="633E33A2">
      <w:pPr>
        <w:pStyle w:val="10"/>
        <w:ind w:firstLine="720"/>
        <w:jc w:val="both"/>
        <w:rPr>
          <w:rFonts w:ascii="Times New Roman" w:hAnsi="Times New Roman" w:cs="Times New Roman"/>
          <w:sz w:val="24"/>
          <w:szCs w:val="24"/>
        </w:rPr>
      </w:pPr>
    </w:p>
    <w:p w14:paraId="26C3DB5F">
      <w:pPr>
        <w:widowControl/>
        <w:suppressAutoHyphens/>
        <w:spacing w:before="280" w:after="280"/>
        <w:ind w:right="-285"/>
        <w:contextualSpacing/>
        <w:rPr>
          <w:rFonts w:ascii="Times New Roman" w:hAnsi="Times New Roman" w:eastAsia="Times New Roman" w:cs="Times New Roman"/>
          <w:color w:val="000000"/>
          <w:sz w:val="24"/>
          <w:szCs w:val="24"/>
          <w:lang w:val="ru-RU" w:eastAsia="ar-SA"/>
        </w:rPr>
      </w:pPr>
    </w:p>
    <w:sectPr>
      <w:pgSz w:w="11906" w:h="16838"/>
      <w:pgMar w:top="709" w:right="991" w:bottom="1134" w:left="1276"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CC"/>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003F58"/>
    <w:rsid w:val="00003F58"/>
    <w:rsid w:val="0005612C"/>
    <w:rsid w:val="0012393E"/>
    <w:rsid w:val="00164D0C"/>
    <w:rsid w:val="00181D19"/>
    <w:rsid w:val="00193D08"/>
    <w:rsid w:val="00235FCE"/>
    <w:rsid w:val="00275738"/>
    <w:rsid w:val="00285977"/>
    <w:rsid w:val="00293983"/>
    <w:rsid w:val="002E2BDB"/>
    <w:rsid w:val="00381193"/>
    <w:rsid w:val="0041551F"/>
    <w:rsid w:val="004C719A"/>
    <w:rsid w:val="004E4D02"/>
    <w:rsid w:val="00534B8B"/>
    <w:rsid w:val="00592349"/>
    <w:rsid w:val="006250B5"/>
    <w:rsid w:val="00715666"/>
    <w:rsid w:val="00716EC7"/>
    <w:rsid w:val="00757D08"/>
    <w:rsid w:val="0079304D"/>
    <w:rsid w:val="007B0F32"/>
    <w:rsid w:val="007D3CA9"/>
    <w:rsid w:val="00812927"/>
    <w:rsid w:val="008731C5"/>
    <w:rsid w:val="008A7CEF"/>
    <w:rsid w:val="008B3768"/>
    <w:rsid w:val="008C76C3"/>
    <w:rsid w:val="008E6BF2"/>
    <w:rsid w:val="009345B1"/>
    <w:rsid w:val="00934E74"/>
    <w:rsid w:val="00983D33"/>
    <w:rsid w:val="009F4484"/>
    <w:rsid w:val="00A158C9"/>
    <w:rsid w:val="00A24CDC"/>
    <w:rsid w:val="00A332C7"/>
    <w:rsid w:val="00A67B99"/>
    <w:rsid w:val="00AA7B27"/>
    <w:rsid w:val="00C472F1"/>
    <w:rsid w:val="00C70D48"/>
    <w:rsid w:val="00C75904"/>
    <w:rsid w:val="00C84A1A"/>
    <w:rsid w:val="00C96D97"/>
    <w:rsid w:val="00CB450A"/>
    <w:rsid w:val="00D16E9F"/>
    <w:rsid w:val="00D40B2F"/>
    <w:rsid w:val="00D75A11"/>
    <w:rsid w:val="00E06D9D"/>
    <w:rsid w:val="00E8794C"/>
    <w:rsid w:val="00E94E35"/>
    <w:rsid w:val="00E97077"/>
    <w:rsid w:val="00F70349"/>
    <w:rsid w:val="00FA1B3A"/>
    <w:rsid w:val="00FA3E76"/>
    <w:rsid w:val="00FA6BA4"/>
    <w:rsid w:val="2F223579"/>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4"/>
    <w:basedOn w:val="1"/>
    <w:next w:val="1"/>
    <w:link w:val="11"/>
    <w:qFormat/>
    <w:uiPriority w:val="0"/>
    <w:pPr>
      <w:keepNext/>
      <w:widowControl/>
      <w:jc w:val="center"/>
      <w:outlineLvl w:val="3"/>
    </w:pPr>
    <w:rPr>
      <w:rFonts w:ascii="Times New Roman" w:hAnsi="Times New Roman" w:eastAsia="Times New Roman" w:cs="Times New Roman"/>
      <w:b/>
      <w:sz w:val="24"/>
      <w:szCs w:val="20"/>
      <w:lang w:val="ru-RU" w:eastAsia="ru-RU"/>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unhideWhenUsed/>
    <w:uiPriority w:val="99"/>
    <w:rPr>
      <w:color w:val="0000FF" w:themeColor="hyperlink"/>
      <w:u w:val="single"/>
    </w:rPr>
  </w:style>
  <w:style w:type="paragraph" w:styleId="6">
    <w:name w:val="Balloon Text"/>
    <w:basedOn w:val="1"/>
    <w:link w:val="9"/>
    <w:semiHidden/>
    <w:unhideWhenUsed/>
    <w:uiPriority w:val="99"/>
    <w:rPr>
      <w:rFonts w:ascii="Tahoma" w:hAnsi="Tahoma" w:cs="Tahoma"/>
      <w:sz w:val="16"/>
      <w:szCs w:val="16"/>
    </w:rPr>
  </w:style>
  <w:style w:type="paragraph" w:styleId="7">
    <w:name w:val="Body Text"/>
    <w:basedOn w:val="1"/>
    <w:link w:val="13"/>
    <w:uiPriority w:val="0"/>
    <w:pPr>
      <w:widowControl/>
      <w:spacing w:after="120"/>
    </w:pPr>
    <w:rPr>
      <w:rFonts w:ascii="Times New Roman" w:hAnsi="Times New Roman" w:eastAsia="Times New Roman" w:cs="Times New Roman"/>
      <w:sz w:val="24"/>
      <w:szCs w:val="24"/>
      <w:lang w:val="ru-RU" w:eastAsia="ru-RU"/>
    </w:rPr>
  </w:style>
  <w:style w:type="paragraph" w:styleId="8">
    <w:name w:val="Normal (Web)"/>
    <w:basedOn w:val="1"/>
    <w:unhideWhenUsed/>
    <w:uiPriority w:val="99"/>
    <w:pPr>
      <w:widowControl/>
      <w:spacing w:before="100" w:beforeAutospacing="1" w:after="100" w:afterAutospacing="1"/>
    </w:pPr>
    <w:rPr>
      <w:rFonts w:ascii="Times New Roman" w:hAnsi="Times New Roman" w:eastAsia="Times New Roman" w:cs="Times New Roman"/>
      <w:sz w:val="24"/>
      <w:szCs w:val="24"/>
      <w:lang w:val="ru-RU" w:eastAsia="ru-RU"/>
    </w:rPr>
  </w:style>
  <w:style w:type="character" w:customStyle="1" w:styleId="9">
    <w:name w:val="Текст выноски Знак"/>
    <w:basedOn w:val="3"/>
    <w:link w:val="6"/>
    <w:semiHidden/>
    <w:uiPriority w:val="99"/>
    <w:rPr>
      <w:rFonts w:ascii="Tahoma" w:hAnsi="Tahoma" w:cs="Tahoma"/>
      <w:sz w:val="16"/>
      <w:szCs w:val="16"/>
      <w:lang w:val="en-US"/>
    </w:rPr>
  </w:style>
  <w:style w:type="paragraph" w:styleId="10">
    <w:name w:val="No Spacing"/>
    <w:qFormat/>
    <w:uiPriority w:val="1"/>
    <w:pPr>
      <w:suppressAutoHyphens/>
      <w:spacing w:after="0" w:line="240" w:lineRule="auto"/>
    </w:pPr>
    <w:rPr>
      <w:rFonts w:asciiTheme="minorHAnsi" w:hAnsiTheme="minorHAnsi" w:eastAsiaTheme="minorHAnsi" w:cstheme="minorBidi"/>
      <w:sz w:val="22"/>
      <w:szCs w:val="22"/>
      <w:lang w:val="ru-RU" w:eastAsia="en-US" w:bidi="ar-SA"/>
    </w:rPr>
  </w:style>
  <w:style w:type="character" w:customStyle="1" w:styleId="11">
    <w:name w:val="Заголовок 4 Знак"/>
    <w:basedOn w:val="3"/>
    <w:link w:val="2"/>
    <w:uiPriority w:val="0"/>
    <w:rPr>
      <w:rFonts w:ascii="Times New Roman" w:hAnsi="Times New Roman" w:eastAsia="Times New Roman" w:cs="Times New Roman"/>
      <w:b/>
      <w:sz w:val="24"/>
      <w:szCs w:val="20"/>
      <w:lang w:eastAsia="ru-RU"/>
    </w:rPr>
  </w:style>
  <w:style w:type="paragraph" w:styleId="12">
    <w:name w:val="List Paragraph"/>
    <w:basedOn w:val="1"/>
    <w:qFormat/>
    <w:uiPriority w:val="34"/>
    <w:pPr>
      <w:widowControl/>
      <w:ind w:left="720"/>
      <w:contextualSpacing/>
    </w:pPr>
    <w:rPr>
      <w:rFonts w:ascii="Times New Roman" w:hAnsi="Times New Roman" w:eastAsia="Times New Roman" w:cs="Times New Roman"/>
      <w:sz w:val="20"/>
      <w:szCs w:val="20"/>
      <w:lang w:val="ru-RU" w:eastAsia="ru-RU"/>
    </w:rPr>
  </w:style>
  <w:style w:type="character" w:customStyle="1" w:styleId="13">
    <w:name w:val="Основной текст Знак"/>
    <w:basedOn w:val="3"/>
    <w:link w:val="7"/>
    <w:uiPriority w:val="0"/>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SPecialiST RePack</Company>
  <Pages>11</Pages>
  <Words>4838</Words>
  <Characters>27583</Characters>
  <Lines>229</Lines>
  <Paragraphs>64</Paragraphs>
  <TotalTime>532</TotalTime>
  <ScaleCrop>false</ScaleCrop>
  <LinksUpToDate>false</LinksUpToDate>
  <CharactersWithSpaces>32357</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2019-03-01T06:58:00Z</dcterms:created>
  <dc:creator>01</dc:creator>
  <cp:lastModifiedBy>User</cp:lastModifiedBy>
  <cp:lastPrinted>2025-01-23T10:33:07Z</cp:lastPrinted>
  <dcterms:modified xsi:type="dcterms:W3CDTF">2025-01-23T10:34:44Z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D3778FDFB2AF4B76AEDC8BF27B9280B0_12</vt:lpwstr>
  </property>
</Properties>
</file>